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ind w:left="20"/>
        <w:outlineLvl w:val="1"/>
        <w:rPr>
          <w:rFonts w:ascii="仿宋" w:hAnsi="仿宋" w:eastAsia="仿宋" w:cs="仿宋"/>
          <w:sz w:val="28"/>
          <w:szCs w:val="28"/>
        </w:rPr>
      </w:pPr>
      <w:bookmarkStart w:id="0" w:name="_bookmark99"/>
      <w:bookmarkEnd w:id="0"/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4.4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室外噪声分析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75" w:line="231" w:lineRule="auto"/>
        <w:ind w:left="19"/>
        <w:outlineLvl w:val="2"/>
        <w:rPr>
          <w:rFonts w:ascii="仿宋" w:hAnsi="仿宋" w:eastAsia="仿宋" w:cs="仿宋"/>
          <w:sz w:val="23"/>
          <w:szCs w:val="23"/>
        </w:rPr>
      </w:pPr>
      <w:bookmarkStart w:id="1" w:name="_bookmark39"/>
      <w:bookmarkEnd w:id="1"/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4.4.1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评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价标准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5" w:line="231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(</w:t>
      </w:r>
      <w:r>
        <w:rPr>
          <w:rFonts w:ascii="仿宋" w:hAnsi="仿宋" w:eastAsia="仿宋" w:cs="仿宋"/>
          <w:spacing w:val="16"/>
          <w:sz w:val="23"/>
          <w:szCs w:val="23"/>
        </w:rPr>
        <w:t>1) 评价依据 ：</w:t>
      </w:r>
    </w:p>
    <w:p>
      <w:pPr>
        <w:spacing w:before="24" w:line="311" w:lineRule="exact"/>
        <w:ind w:left="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2"/>
          <w:sz w:val="23"/>
          <w:szCs w:val="23"/>
        </w:rPr>
        <w:t>1．</w:t>
      </w:r>
      <w:r>
        <w:rPr>
          <w:rFonts w:ascii="仿宋" w:hAnsi="仿宋" w:eastAsia="仿宋" w:cs="仿宋"/>
          <w:spacing w:val="9"/>
          <w:position w:val="2"/>
          <w:sz w:val="23"/>
          <w:szCs w:val="23"/>
        </w:rPr>
        <w:t>《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>绿色建筑评价标准》</w:t>
      </w:r>
      <w:r>
        <w:rPr>
          <w:rFonts w:ascii="仿宋" w:hAnsi="仿宋" w:eastAsia="仿宋" w:cs="仿宋"/>
          <w:position w:val="2"/>
          <w:sz w:val="23"/>
          <w:szCs w:val="23"/>
        </w:rPr>
        <w:t>GB</w:t>
      </w:r>
      <w:r>
        <w:rPr>
          <w:rFonts w:ascii="仿宋" w:hAnsi="仿宋" w:eastAsia="仿宋" w:cs="仿宋"/>
          <w:spacing w:val="6"/>
          <w:position w:val="2"/>
          <w:sz w:val="23"/>
          <w:szCs w:val="23"/>
        </w:rPr>
        <w:t xml:space="preserve"> 50378-2014</w:t>
      </w:r>
    </w:p>
    <w:p>
      <w:pPr>
        <w:spacing w:before="1" w:line="312" w:lineRule="exact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．《绿色建筑评价技术细则》</w:t>
      </w:r>
    </w:p>
    <w:p>
      <w:pPr>
        <w:spacing w:line="311" w:lineRule="exact"/>
        <w:ind w:left="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2"/>
          <w:sz w:val="23"/>
          <w:szCs w:val="23"/>
        </w:rPr>
        <w:t>3</w:t>
      </w:r>
      <w:r>
        <w:rPr>
          <w:rFonts w:ascii="仿宋" w:hAnsi="仿宋" w:eastAsia="仿宋" w:cs="仿宋"/>
          <w:spacing w:val="7"/>
          <w:position w:val="2"/>
          <w:sz w:val="23"/>
          <w:szCs w:val="23"/>
        </w:rPr>
        <w:t>．《声环境质量标准》</w:t>
      </w:r>
      <w:r>
        <w:rPr>
          <w:rFonts w:ascii="仿宋" w:hAnsi="仿宋" w:eastAsia="仿宋" w:cs="仿宋"/>
          <w:position w:val="2"/>
          <w:sz w:val="23"/>
          <w:szCs w:val="23"/>
        </w:rPr>
        <w:t>GB</w:t>
      </w:r>
      <w:r>
        <w:rPr>
          <w:rFonts w:ascii="仿宋" w:hAnsi="仿宋" w:eastAsia="仿宋" w:cs="仿宋"/>
          <w:spacing w:val="7"/>
          <w:position w:val="2"/>
          <w:sz w:val="23"/>
          <w:szCs w:val="23"/>
        </w:rPr>
        <w:t xml:space="preserve"> 3096-2008</w:t>
      </w:r>
    </w:p>
    <w:p>
      <w:pPr>
        <w:spacing w:before="1" w:line="312" w:lineRule="exact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2"/>
          <w:sz w:val="23"/>
          <w:szCs w:val="23"/>
        </w:rPr>
        <w:t>4．《评价技术导则声环境》</w:t>
      </w:r>
      <w:r>
        <w:rPr>
          <w:rFonts w:ascii="仿宋" w:hAnsi="仿宋" w:eastAsia="仿宋" w:cs="仿宋"/>
          <w:position w:val="2"/>
          <w:sz w:val="23"/>
          <w:szCs w:val="23"/>
        </w:rPr>
        <w:t>HJ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2.4-200</w:t>
      </w:r>
      <w:r>
        <w:rPr>
          <w:rFonts w:ascii="仿宋" w:hAnsi="仿宋" w:eastAsia="仿宋" w:cs="仿宋"/>
          <w:spacing w:val="7"/>
          <w:position w:val="2"/>
          <w:sz w:val="23"/>
          <w:szCs w:val="23"/>
        </w:rPr>
        <w:t>9</w:t>
      </w:r>
    </w:p>
    <w:p>
      <w:pPr>
        <w:spacing w:line="311" w:lineRule="exact"/>
        <w:ind w:left="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position w:val="2"/>
          <w:sz w:val="23"/>
          <w:szCs w:val="23"/>
        </w:rPr>
        <w:t>5．《声环境功能区划分技术规范》</w:t>
      </w:r>
      <w:r>
        <w:rPr>
          <w:rFonts w:ascii="仿宋" w:hAnsi="仿宋" w:eastAsia="仿宋" w:cs="仿宋"/>
          <w:position w:val="2"/>
          <w:sz w:val="23"/>
          <w:szCs w:val="23"/>
        </w:rPr>
        <w:t>GB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/</w:t>
      </w:r>
      <w:r>
        <w:rPr>
          <w:rFonts w:ascii="仿宋" w:hAnsi="仿宋" w:eastAsia="仿宋" w:cs="仿宋"/>
          <w:position w:val="2"/>
          <w:sz w:val="23"/>
          <w:szCs w:val="23"/>
        </w:rPr>
        <w:t>T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15190-201</w:t>
      </w:r>
      <w:r>
        <w:rPr>
          <w:rFonts w:ascii="仿宋" w:hAnsi="仿宋" w:eastAsia="仿宋" w:cs="仿宋"/>
          <w:spacing w:val="3"/>
          <w:position w:val="2"/>
          <w:sz w:val="23"/>
          <w:szCs w:val="23"/>
        </w:rPr>
        <w:t>4</w:t>
      </w:r>
    </w:p>
    <w:p>
      <w:pPr>
        <w:spacing w:before="1" w:line="311" w:lineRule="exact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6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．建筑设计图纸相关文件</w:t>
      </w:r>
    </w:p>
    <w:p>
      <w:pPr>
        <w:spacing w:before="1" w:line="231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3"/>
          <w:sz w:val="23"/>
          <w:szCs w:val="23"/>
        </w:rPr>
        <w:t>(</w:t>
      </w:r>
      <w:r>
        <w:rPr>
          <w:rFonts w:ascii="仿宋" w:hAnsi="仿宋" w:eastAsia="仿宋" w:cs="仿宋"/>
          <w:spacing w:val="17"/>
          <w:sz w:val="23"/>
          <w:szCs w:val="23"/>
        </w:rPr>
        <w:t>2) 标准要求：</w:t>
      </w:r>
    </w:p>
    <w:p>
      <w:pPr>
        <w:spacing w:before="26" w:line="250" w:lineRule="auto"/>
        <w:ind w:left="27" w:righ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《绿色建筑评价标准》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5037</w:t>
      </w:r>
      <w:r>
        <w:rPr>
          <w:rFonts w:ascii="仿宋" w:hAnsi="仿宋" w:eastAsia="仿宋" w:cs="仿宋"/>
          <w:sz w:val="23"/>
          <w:szCs w:val="23"/>
        </w:rPr>
        <w:t xml:space="preserve">8-2014 中规定：场地内环境噪声符合现行标准《声 </w:t>
      </w:r>
      <w:r>
        <w:rPr>
          <w:rFonts w:ascii="仿宋" w:hAnsi="仿宋" w:eastAsia="仿宋" w:cs="仿宋"/>
          <w:spacing w:val="2"/>
          <w:sz w:val="23"/>
          <w:szCs w:val="23"/>
        </w:rPr>
        <w:t>环境质量标准》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3096 的有关规定，评</w:t>
      </w:r>
      <w:r>
        <w:rPr>
          <w:rFonts w:ascii="仿宋" w:hAnsi="仿宋" w:eastAsia="仿宋" w:cs="仿宋"/>
          <w:spacing w:val="1"/>
          <w:sz w:val="23"/>
          <w:szCs w:val="23"/>
        </w:rPr>
        <w:t>价分值为 4 分。</w:t>
      </w:r>
    </w:p>
    <w:p>
      <w:pPr>
        <w:spacing w:before="2" w:line="243" w:lineRule="auto"/>
        <w:ind w:left="29" w:hanging="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《声环境质量标准》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5"/>
          <w:sz w:val="23"/>
          <w:szCs w:val="23"/>
        </w:rPr>
        <w:t xml:space="preserve"> 3096-2008 中规定了五类声环境功能区的环境噪声限值</w:t>
      </w:r>
      <w:r>
        <w:rPr>
          <w:rFonts w:ascii="仿宋" w:hAnsi="仿宋" w:eastAsia="仿宋" w:cs="仿宋"/>
          <w:spacing w:val="1"/>
          <w:sz w:val="23"/>
          <w:szCs w:val="23"/>
        </w:rPr>
        <w:t>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如下表所</w:t>
      </w:r>
      <w:r>
        <w:rPr>
          <w:rFonts w:ascii="仿宋" w:hAnsi="仿宋" w:eastAsia="仿宋" w:cs="仿宋"/>
          <w:spacing w:val="7"/>
          <w:sz w:val="23"/>
          <w:szCs w:val="23"/>
        </w:rPr>
        <w:t>示</w:t>
      </w:r>
      <w:r>
        <w:rPr>
          <w:rFonts w:ascii="仿宋" w:hAnsi="仿宋" w:eastAsia="仿宋" w:cs="仿宋"/>
          <w:spacing w:val="5"/>
          <w:sz w:val="23"/>
          <w:szCs w:val="23"/>
        </w:rPr>
        <w:t>。本项目所在区域声环境执行《声环境质量标准》  (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5"/>
          <w:sz w:val="23"/>
          <w:szCs w:val="23"/>
        </w:rPr>
        <w:t>3096-2008)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6"/>
          <w:sz w:val="23"/>
          <w:szCs w:val="23"/>
        </w:rPr>
        <w:t>功能</w:t>
      </w:r>
      <w:r>
        <w:rPr>
          <w:rFonts w:ascii="仿宋" w:hAnsi="仿宋" w:eastAsia="仿宋" w:cs="仿宋"/>
          <w:spacing w:val="-4"/>
          <w:sz w:val="23"/>
          <w:szCs w:val="23"/>
        </w:rPr>
        <w:t>区</w:t>
      </w:r>
      <w:r>
        <w:rPr>
          <w:rFonts w:ascii="仿宋" w:hAnsi="仿宋" w:eastAsia="仿宋" w:cs="仿宋"/>
          <w:spacing w:val="-3"/>
          <w:sz w:val="23"/>
          <w:szCs w:val="23"/>
        </w:rPr>
        <w:t xml:space="preserve"> 1 类区域标准。</w:t>
      </w:r>
    </w:p>
    <w:p>
      <w:pPr>
        <w:spacing w:before="10" w:line="4922" w:lineRule="exact"/>
        <w:ind w:firstLine="11"/>
        <w:textAlignment w:val="center"/>
      </w:pPr>
      <w:r>
        <w:drawing>
          <wp:inline distT="0" distB="0" distL="0" distR="0">
            <wp:extent cx="4942205" cy="3125470"/>
            <wp:effectExtent l="0" t="0" r="10795" b="1778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332" cy="312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5" w:type="default"/>
          <w:pgSz w:w="11906" w:h="16839"/>
          <w:pgMar w:top="1431" w:right="1731" w:bottom="1220" w:left="1785" w:header="0" w:footer="1033" w:gutter="0"/>
          <w:cols w:space="720" w:num="1"/>
        </w:sectPr>
      </w:pPr>
    </w:p>
    <w:p>
      <w:pPr>
        <w:spacing w:before="156" w:line="231" w:lineRule="auto"/>
        <w:ind w:left="120"/>
        <w:outlineLvl w:val="2"/>
        <w:rPr>
          <w:rFonts w:ascii="仿宋" w:hAnsi="仿宋" w:eastAsia="仿宋" w:cs="仿宋"/>
          <w:sz w:val="23"/>
          <w:szCs w:val="23"/>
        </w:rPr>
      </w:pPr>
      <w:bookmarkStart w:id="2" w:name="_bookmark40"/>
      <w:bookmarkEnd w:id="2"/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4.4.2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模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拟方法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75" w:line="250" w:lineRule="auto"/>
        <w:ind w:left="128" w:right="31" w:firstLine="48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本报告采用</w:t>
      </w:r>
      <w:r>
        <w:rPr>
          <w:rFonts w:ascii="仿宋" w:hAnsi="仿宋" w:eastAsia="仿宋" w:cs="仿宋"/>
          <w:spacing w:val="4"/>
          <w:sz w:val="23"/>
          <w:szCs w:val="23"/>
        </w:rPr>
        <w:t>建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筑声环境软件 </w:t>
      </w:r>
      <w:r>
        <w:rPr>
          <w:rFonts w:ascii="仿宋" w:hAnsi="仿宋" w:eastAsia="仿宋" w:cs="仿宋"/>
          <w:sz w:val="23"/>
          <w:szCs w:val="23"/>
        </w:rPr>
        <w:t>SEDU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进行模拟计算。</w:t>
      </w:r>
      <w:r>
        <w:rPr>
          <w:rFonts w:ascii="仿宋" w:hAnsi="仿宋" w:eastAsia="仿宋" w:cs="仿宋"/>
          <w:sz w:val="23"/>
          <w:szCs w:val="23"/>
        </w:rPr>
        <w:t>SEDU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是一款可用于噪声计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算</w:t>
      </w:r>
      <w:r>
        <w:rPr>
          <w:rFonts w:ascii="仿宋" w:hAnsi="仿宋" w:eastAsia="仿宋" w:cs="仿宋"/>
          <w:spacing w:val="7"/>
          <w:sz w:val="23"/>
          <w:szCs w:val="23"/>
        </w:rPr>
        <w:t>、评估和预测的软件，计算原理源于标准化组织规定的《户外声传播的衰减的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计算方法》</w:t>
      </w:r>
      <w:r>
        <w:rPr>
          <w:rFonts w:ascii="仿宋" w:hAnsi="仿宋" w:eastAsia="仿宋" w:cs="仿宋"/>
          <w:sz w:val="23"/>
          <w:szCs w:val="23"/>
        </w:rPr>
        <w:t>IS</w:t>
      </w:r>
      <w:r>
        <w:rPr>
          <w:rFonts w:ascii="仿宋" w:hAnsi="仿宋" w:eastAsia="仿宋" w:cs="仿宋"/>
          <w:spacing w:val="4"/>
          <w:sz w:val="23"/>
          <w:szCs w:val="23"/>
        </w:rPr>
        <w:t>99613-2：1996、 国内公布的《声学户外声传播的衰减第 2 部</w:t>
      </w:r>
      <w:r>
        <w:rPr>
          <w:rFonts w:ascii="仿宋" w:hAnsi="仿宋" w:eastAsia="仿宋" w:cs="仿宋"/>
          <w:spacing w:val="1"/>
          <w:sz w:val="23"/>
          <w:szCs w:val="23"/>
        </w:rPr>
        <w:t>分</w:t>
      </w:r>
      <w:r>
        <w:rPr>
          <w:rFonts w:ascii="仿宋" w:hAnsi="仿宋" w:eastAsia="仿宋" w:cs="仿宋"/>
          <w:sz w:val="23"/>
          <w:szCs w:val="23"/>
        </w:rPr>
        <w:t xml:space="preserve">： 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一般计算方法》  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3"/>
          <w:sz w:val="23"/>
          <w:szCs w:val="23"/>
        </w:rPr>
        <w:t>/</w:t>
      </w:r>
      <w:r>
        <w:rPr>
          <w:rFonts w:ascii="仿宋" w:hAnsi="仿宋" w:eastAsia="仿宋" w:cs="仿宋"/>
          <w:sz w:val="23"/>
          <w:szCs w:val="23"/>
        </w:rPr>
        <w:t>T</w:t>
      </w:r>
      <w:r>
        <w:rPr>
          <w:rFonts w:ascii="仿宋" w:hAnsi="仿宋" w:eastAsia="仿宋" w:cs="仿宋"/>
          <w:spacing w:val="3"/>
          <w:sz w:val="23"/>
          <w:szCs w:val="23"/>
        </w:rPr>
        <w:t>17247.2-1998 和《评价技术导则》</w:t>
      </w:r>
      <w:r>
        <w:rPr>
          <w:rFonts w:ascii="仿宋" w:hAnsi="仿宋" w:eastAsia="仿宋" w:cs="仿宋"/>
          <w:sz w:val="23"/>
          <w:szCs w:val="23"/>
        </w:rPr>
        <w:t>HJ</w:t>
      </w:r>
      <w:r>
        <w:rPr>
          <w:rFonts w:ascii="仿宋" w:hAnsi="仿宋" w:eastAsia="仿宋" w:cs="仿宋"/>
          <w:spacing w:val="3"/>
          <w:sz w:val="23"/>
          <w:szCs w:val="23"/>
        </w:rPr>
        <w:t>2.4-2009、《公</w:t>
      </w:r>
      <w:r>
        <w:rPr>
          <w:rFonts w:ascii="仿宋" w:hAnsi="仿宋" w:eastAsia="仿宋" w:cs="仿宋"/>
          <w:spacing w:val="2"/>
          <w:sz w:val="23"/>
          <w:szCs w:val="23"/>
        </w:rPr>
        <w:t>路</w:t>
      </w:r>
      <w:r>
        <w:rPr>
          <w:rFonts w:ascii="仿宋" w:hAnsi="仿宋" w:eastAsia="仿宋" w:cs="仿宋"/>
          <w:sz w:val="23"/>
          <w:szCs w:val="23"/>
        </w:rPr>
        <w:t xml:space="preserve">建 </w:t>
      </w:r>
      <w:r>
        <w:rPr>
          <w:rFonts w:ascii="仿宋" w:hAnsi="仿宋" w:eastAsia="仿宋" w:cs="仿宋"/>
          <w:spacing w:val="12"/>
          <w:sz w:val="23"/>
          <w:szCs w:val="23"/>
        </w:rPr>
        <w:t>设项目评</w:t>
      </w:r>
      <w:r>
        <w:rPr>
          <w:rFonts w:ascii="仿宋" w:hAnsi="仿宋" w:eastAsia="仿宋" w:cs="仿宋"/>
          <w:spacing w:val="6"/>
          <w:sz w:val="23"/>
          <w:szCs w:val="23"/>
        </w:rPr>
        <w:t>价规范》</w:t>
      </w:r>
      <w:r>
        <w:rPr>
          <w:rFonts w:ascii="仿宋" w:hAnsi="仿宋" w:eastAsia="仿宋" w:cs="仿宋"/>
          <w:sz w:val="23"/>
          <w:szCs w:val="23"/>
        </w:rPr>
        <w:t>JTG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B</w:t>
      </w:r>
      <w:r>
        <w:rPr>
          <w:rFonts w:ascii="仿宋" w:hAnsi="仿宋" w:eastAsia="仿宋" w:cs="仿宋"/>
          <w:spacing w:val="6"/>
          <w:sz w:val="23"/>
          <w:szCs w:val="23"/>
        </w:rPr>
        <w:t>03-2006。软件计算严格按照相关标准要求编制，室内外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可</w:t>
      </w:r>
      <w:r>
        <w:rPr>
          <w:rFonts w:ascii="仿宋" w:hAnsi="仿宋" w:eastAsia="仿宋" w:cs="仿宋"/>
          <w:spacing w:val="7"/>
          <w:sz w:val="23"/>
          <w:szCs w:val="23"/>
        </w:rPr>
        <w:t>接力计算，室外计算结果可作为噪声边界条件接力进行后续建筑室内隔声性能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的</w:t>
      </w:r>
      <w:r>
        <w:rPr>
          <w:rFonts w:ascii="仿宋" w:hAnsi="仿宋" w:eastAsia="仿宋" w:cs="仿宋"/>
          <w:spacing w:val="3"/>
          <w:sz w:val="23"/>
          <w:szCs w:val="23"/>
        </w:rPr>
        <w:t>计算。</w:t>
      </w:r>
    </w:p>
    <w:p>
      <w:pPr>
        <w:spacing w:before="2" w:line="250" w:lineRule="auto"/>
        <w:ind w:left="128" w:right="61" w:firstLine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考虑到本项目建成后周边噪声环境情况的复杂性，本报告使用软件分别模拟计</w:t>
      </w:r>
      <w:r>
        <w:rPr>
          <w:rFonts w:ascii="仿宋" w:hAnsi="仿宋" w:eastAsia="仿宋" w:cs="仿宋"/>
          <w:spacing w:val="6"/>
          <w:sz w:val="23"/>
          <w:szCs w:val="23"/>
        </w:rPr>
        <w:t>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昼</w:t>
      </w:r>
      <w:r>
        <w:rPr>
          <w:rFonts w:ascii="仿宋" w:hAnsi="仿宋" w:eastAsia="仿宋" w:cs="仿宋"/>
          <w:spacing w:val="7"/>
          <w:sz w:val="23"/>
          <w:szCs w:val="23"/>
        </w:rPr>
        <w:t>间和夜间噪声值，包括项目场地的平面噪声分布、噪声敏感建筑的沿建筑物底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轮廓</w:t>
      </w:r>
      <w:r>
        <w:rPr>
          <w:rFonts w:ascii="仿宋" w:hAnsi="仿宋" w:eastAsia="仿宋" w:cs="仿宋"/>
          <w:spacing w:val="16"/>
          <w:sz w:val="23"/>
          <w:szCs w:val="23"/>
        </w:rPr>
        <w:t>线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1.5 米高度处和噪声敏感建筑立面噪声分布，并依据《声环境功能区划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分</w:t>
      </w:r>
      <w:r>
        <w:rPr>
          <w:rFonts w:ascii="仿宋" w:hAnsi="仿宋" w:eastAsia="仿宋" w:cs="仿宋"/>
          <w:spacing w:val="9"/>
          <w:sz w:val="23"/>
          <w:szCs w:val="23"/>
        </w:rPr>
        <w:t>技术规范》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9"/>
          <w:sz w:val="23"/>
          <w:szCs w:val="23"/>
        </w:rPr>
        <w:t>/</w:t>
      </w:r>
      <w:r>
        <w:rPr>
          <w:rFonts w:ascii="仿宋" w:hAnsi="仿宋" w:eastAsia="仿宋" w:cs="仿宋"/>
          <w:sz w:val="23"/>
          <w:szCs w:val="23"/>
        </w:rPr>
        <w:t>T</w:t>
      </w:r>
      <w:r>
        <w:rPr>
          <w:rFonts w:ascii="仿宋" w:hAnsi="仿宋" w:eastAsia="仿宋" w:cs="仿宋"/>
          <w:spacing w:val="9"/>
          <w:sz w:val="23"/>
          <w:szCs w:val="23"/>
        </w:rPr>
        <w:t>15190- 2014，判断场地内环境噪声模拟结果是否满足《声环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境质量标准》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7"/>
          <w:sz w:val="23"/>
          <w:szCs w:val="23"/>
        </w:rPr>
        <w:t>3096-2008 的相关规定。</w:t>
      </w:r>
    </w:p>
    <w:p>
      <w:pPr>
        <w:spacing w:before="1" w:line="229" w:lineRule="auto"/>
        <w:ind w:left="1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分</w:t>
      </w:r>
      <w:r>
        <w:rPr>
          <w:rFonts w:ascii="仿宋" w:hAnsi="仿宋" w:eastAsia="仿宋" w:cs="仿宋"/>
          <w:spacing w:val="5"/>
          <w:sz w:val="23"/>
          <w:szCs w:val="23"/>
        </w:rPr>
        <w:t>析模型</w:t>
      </w:r>
    </w:p>
    <w:p>
      <w:pPr>
        <w:spacing w:before="26" w:line="250" w:lineRule="auto"/>
        <w:ind w:left="130" w:right="61" w:firstLine="48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本报告根据建筑设计图纸等相关资料建立室外声环境模拟模型，主要包括</w:t>
      </w:r>
      <w:r>
        <w:rPr>
          <w:rFonts w:ascii="仿宋" w:hAnsi="仿宋" w:eastAsia="仿宋" w:cs="仿宋"/>
          <w:sz w:val="23"/>
          <w:szCs w:val="23"/>
        </w:rPr>
        <w:t xml:space="preserve">参 </w:t>
      </w:r>
      <w:r>
        <w:rPr>
          <w:rFonts w:ascii="仿宋" w:hAnsi="仿宋" w:eastAsia="仿宋" w:cs="仿宋"/>
          <w:spacing w:val="16"/>
          <w:sz w:val="23"/>
          <w:szCs w:val="23"/>
        </w:rPr>
        <w:t>评目</w:t>
      </w:r>
      <w:r>
        <w:rPr>
          <w:rFonts w:ascii="仿宋" w:hAnsi="仿宋" w:eastAsia="仿宋" w:cs="仿宋"/>
          <w:spacing w:val="15"/>
          <w:sz w:val="23"/>
          <w:szCs w:val="23"/>
        </w:rPr>
        <w:t>标</w:t>
      </w:r>
      <w:r>
        <w:rPr>
          <w:rFonts w:ascii="仿宋" w:hAnsi="仿宋" w:eastAsia="仿宋" w:cs="仿宋"/>
          <w:spacing w:val="8"/>
          <w:sz w:val="23"/>
          <w:szCs w:val="23"/>
        </w:rPr>
        <w:t>建筑、周边建筑、声屏障、道路 (包括轨道交通) 和绿化带等对象。</w:t>
      </w:r>
    </w:p>
    <w:p>
      <w:pPr>
        <w:spacing w:before="1" w:line="230" w:lineRule="auto"/>
        <w:ind w:left="1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本项目噪声模型如下图所示</w:t>
      </w:r>
      <w:r>
        <w:rPr>
          <w:rFonts w:ascii="仿宋" w:hAnsi="仿宋" w:eastAsia="仿宋" w:cs="仿宋"/>
          <w:spacing w:val="7"/>
          <w:sz w:val="23"/>
          <w:szCs w:val="23"/>
        </w:rPr>
        <w:t>：</w:t>
      </w:r>
    </w:p>
    <w:p>
      <w:pPr>
        <w:spacing w:before="64" w:line="2950" w:lineRule="exact"/>
        <w:ind w:firstLine="1059"/>
        <w:textAlignment w:val="center"/>
      </w:pPr>
      <w:r>
        <w:drawing>
          <wp:inline distT="0" distB="0" distL="0" distR="0">
            <wp:extent cx="4071620" cy="1872615"/>
            <wp:effectExtent l="0" t="0" r="5080" b="13335"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18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1" w:line="230" w:lineRule="auto"/>
        <w:ind w:left="1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(</w:t>
      </w:r>
      <w:r>
        <w:rPr>
          <w:rFonts w:ascii="仿宋" w:hAnsi="仿宋" w:eastAsia="仿宋" w:cs="仿宋"/>
          <w:spacing w:val="9"/>
          <w:sz w:val="23"/>
          <w:szCs w:val="23"/>
        </w:rPr>
        <w:t>建</w:t>
      </w:r>
      <w:r>
        <w:rPr>
          <w:rFonts w:ascii="仿宋" w:hAnsi="仿宋" w:eastAsia="仿宋" w:cs="仿宋"/>
          <w:spacing w:val="5"/>
          <w:sz w:val="23"/>
          <w:szCs w:val="23"/>
        </w:rPr>
        <w:t>设项目室外声环境分析模型)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230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计算条件</w:t>
      </w:r>
      <w:r>
        <w:rPr>
          <w:rFonts w:ascii="仿宋" w:hAnsi="仿宋" w:eastAsia="仿宋" w:cs="仿宋"/>
          <w:spacing w:val="4"/>
          <w:sz w:val="23"/>
          <w:szCs w:val="23"/>
        </w:rPr>
        <w:t>：</w:t>
      </w:r>
    </w:p>
    <w:p>
      <w:pPr>
        <w:spacing w:before="26" w:line="250" w:lineRule="auto"/>
        <w:ind w:left="126" w:firstLine="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网格设置：平面网格间距：3×3 米，平面网格离地高</w:t>
      </w:r>
      <w:r>
        <w:rPr>
          <w:rFonts w:ascii="仿宋" w:hAnsi="仿宋" w:eastAsia="仿宋" w:cs="仿宋"/>
          <w:spacing w:val="-1"/>
          <w:sz w:val="23"/>
          <w:szCs w:val="23"/>
        </w:rPr>
        <w:t>度：1.5 米，立面网格间距：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6"/>
          <w:sz w:val="23"/>
          <w:szCs w:val="23"/>
        </w:rPr>
        <w:t>3×3 米</w:t>
      </w:r>
    </w:p>
    <w:p>
      <w:pPr>
        <w:spacing w:before="1" w:line="230" w:lineRule="auto"/>
        <w:ind w:left="1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地</w:t>
      </w:r>
      <w:r>
        <w:rPr>
          <w:rFonts w:ascii="仿宋" w:hAnsi="仿宋" w:eastAsia="仿宋" w:cs="仿宋"/>
          <w:spacing w:val="3"/>
          <w:sz w:val="23"/>
          <w:szCs w:val="23"/>
        </w:rPr>
        <w:t>面效应：地面高度 0 米，计算考虑地面效应</w:t>
      </w:r>
    </w:p>
    <w:p>
      <w:pPr>
        <w:spacing w:before="25" w:line="230" w:lineRule="auto"/>
        <w:ind w:left="1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地</w:t>
      </w:r>
      <w:r>
        <w:rPr>
          <w:rFonts w:ascii="仿宋" w:hAnsi="仿宋" w:eastAsia="仿宋" w:cs="仿宋"/>
          <w:spacing w:val="9"/>
          <w:sz w:val="23"/>
          <w:szCs w:val="23"/>
        </w:rPr>
        <w:t>面</w:t>
      </w:r>
      <w:r>
        <w:rPr>
          <w:rFonts w:ascii="仿宋" w:hAnsi="仿宋" w:eastAsia="仿宋" w:cs="仿宋"/>
          <w:spacing w:val="8"/>
          <w:sz w:val="23"/>
          <w:szCs w:val="23"/>
        </w:rPr>
        <w:t>效应计算方法：导则算法</w:t>
      </w:r>
    </w:p>
    <w:p>
      <w:pPr>
        <w:spacing w:before="25" w:line="231" w:lineRule="auto"/>
        <w:ind w:left="13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噪声反射：障碍物考虑的最大反射次数一</w:t>
      </w:r>
      <w:r>
        <w:rPr>
          <w:rFonts w:ascii="仿宋" w:hAnsi="仿宋" w:eastAsia="仿宋" w:cs="仿宋"/>
          <w:spacing w:val="7"/>
          <w:sz w:val="23"/>
          <w:szCs w:val="23"/>
        </w:rPr>
        <w:t>次</w:t>
      </w:r>
    </w:p>
    <w:p>
      <w:pPr>
        <w:spacing w:before="25" w:line="231" w:lineRule="auto"/>
        <w:ind w:left="14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空气吸收：气压：101325</w:t>
      </w:r>
      <w:r>
        <w:rPr>
          <w:rFonts w:ascii="仿宋" w:hAnsi="仿宋" w:eastAsia="仿宋" w:cs="仿宋"/>
          <w:sz w:val="23"/>
          <w:szCs w:val="23"/>
        </w:rPr>
        <w:t>Pa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气温：16℃ 湿度：50</w:t>
      </w:r>
      <w:r>
        <w:rPr>
          <w:rFonts w:ascii="仿宋" w:hAnsi="仿宋" w:eastAsia="仿宋" w:cs="仿宋"/>
          <w:spacing w:val="6"/>
          <w:sz w:val="23"/>
          <w:szCs w:val="23"/>
        </w:rPr>
        <w:t>%</w:t>
      </w:r>
    </w:p>
    <w:p>
      <w:pPr>
        <w:spacing w:before="26" w:line="243" w:lineRule="auto"/>
        <w:ind w:left="130" w:right="61" w:firstLine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达标统</w:t>
      </w:r>
      <w:r>
        <w:rPr>
          <w:rFonts w:ascii="仿宋" w:hAnsi="仿宋" w:eastAsia="仿宋" w:cs="仿宋"/>
          <w:spacing w:val="12"/>
          <w:sz w:val="23"/>
          <w:szCs w:val="23"/>
        </w:rPr>
        <w:t>计</w:t>
      </w:r>
      <w:r>
        <w:rPr>
          <w:rFonts w:ascii="仿宋" w:hAnsi="仿宋" w:eastAsia="仿宋" w:cs="仿宋"/>
          <w:spacing w:val="8"/>
          <w:sz w:val="23"/>
          <w:szCs w:val="23"/>
        </w:rPr>
        <w:t>：建筑物噪声最大值统计方式，取距离建筑物底标高 1.5 米沿线点</w:t>
      </w:r>
      <w:r>
        <w:rPr>
          <w:rFonts w:ascii="仿宋" w:hAnsi="仿宋" w:eastAsia="仿宋" w:cs="仿宋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7"/>
          <w:sz w:val="23"/>
          <w:szCs w:val="23"/>
        </w:rPr>
        <w:t>参数设置：建筑室外场地噪声目前主要的噪声源为交通噪声，本项目在湖南大</w:t>
      </w:r>
      <w:r>
        <w:rPr>
          <w:rFonts w:ascii="仿宋" w:hAnsi="仿宋" w:eastAsia="仿宋" w:cs="仿宋"/>
          <w:spacing w:val="6"/>
          <w:sz w:val="23"/>
          <w:szCs w:val="23"/>
        </w:rPr>
        <w:t>学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北校校内，基</w:t>
      </w:r>
      <w:r>
        <w:rPr>
          <w:rFonts w:ascii="仿宋" w:hAnsi="仿宋" w:eastAsia="仿宋" w:cs="仿宋"/>
          <w:spacing w:val="3"/>
          <w:sz w:val="23"/>
          <w:szCs w:val="23"/>
        </w:rPr>
        <w:t>地三面都临接道路，道路宽度为 9 米双车道，公路噪声源的统计数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据</w:t>
      </w:r>
      <w:r>
        <w:rPr>
          <w:rFonts w:ascii="仿宋" w:hAnsi="仿宋" w:eastAsia="仿宋" w:cs="仿宋"/>
          <w:spacing w:val="3"/>
          <w:sz w:val="23"/>
          <w:szCs w:val="23"/>
        </w:rPr>
        <w:t>如下。</w:t>
      </w:r>
    </w:p>
    <w:tbl>
      <w:tblPr>
        <w:tblStyle w:val="4"/>
        <w:tblW w:w="68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3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7" w:type="dxa"/>
            <w:vAlign w:val="top"/>
          </w:tcPr>
          <w:p>
            <w:pPr>
              <w:spacing w:before="42" w:line="223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面材料</w:t>
            </w:r>
          </w:p>
        </w:tc>
        <w:tc>
          <w:tcPr>
            <w:tcW w:w="1703" w:type="dxa"/>
            <w:vAlign w:val="top"/>
          </w:tcPr>
          <w:p>
            <w:pPr>
              <w:spacing w:before="42" w:line="223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段</w:t>
            </w:r>
          </w:p>
        </w:tc>
        <w:tc>
          <w:tcPr>
            <w:tcW w:w="1703" w:type="dxa"/>
            <w:vAlign w:val="top"/>
          </w:tcPr>
          <w:p>
            <w:pPr>
              <w:spacing w:before="42" w:line="223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设计车速</w:t>
            </w:r>
          </w:p>
        </w:tc>
        <w:tc>
          <w:tcPr>
            <w:tcW w:w="1708" w:type="dxa"/>
            <w:vAlign w:val="top"/>
          </w:tcPr>
          <w:p>
            <w:pPr>
              <w:spacing w:before="42" w:line="223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小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型车车流量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7" w:type="dxa"/>
            <w:vMerge w:val="restart"/>
            <w:tcBorders>
              <w:bottom w:val="nil"/>
            </w:tcBorders>
            <w:vAlign w:val="top"/>
          </w:tcPr>
          <w:p>
            <w:pPr>
              <w:spacing w:before="37" w:line="231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沥青混凝土</w:t>
            </w:r>
          </w:p>
        </w:tc>
        <w:tc>
          <w:tcPr>
            <w:tcW w:w="1703" w:type="dxa"/>
            <w:vAlign w:val="top"/>
          </w:tcPr>
          <w:p>
            <w:pPr>
              <w:spacing w:before="38" w:line="222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昼间</w:t>
            </w:r>
          </w:p>
        </w:tc>
        <w:tc>
          <w:tcPr>
            <w:tcW w:w="1703" w:type="dxa"/>
            <w:vAlign w:val="top"/>
          </w:tcPr>
          <w:p>
            <w:pPr>
              <w:spacing w:before="38" w:line="222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z w:val="23"/>
                <w:szCs w:val="23"/>
              </w:rPr>
              <w:t>km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h</w:t>
            </w:r>
          </w:p>
        </w:tc>
        <w:tc>
          <w:tcPr>
            <w:tcW w:w="1708" w:type="dxa"/>
            <w:vAlign w:val="top"/>
          </w:tcPr>
          <w:p>
            <w:pPr>
              <w:spacing w:before="38" w:line="222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150 (辆/</w:t>
            </w:r>
            <w:r>
              <w:rPr>
                <w:rFonts w:ascii="仿宋" w:hAnsi="仿宋" w:eastAsia="仿宋" w:cs="仿宋"/>
                <w:sz w:val="23"/>
                <w:szCs w:val="23"/>
              </w:rPr>
              <w:t>h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spacing w:before="39" w:line="22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夜间</w:t>
            </w:r>
          </w:p>
        </w:tc>
        <w:tc>
          <w:tcPr>
            <w:tcW w:w="1703" w:type="dxa"/>
            <w:vAlign w:val="top"/>
          </w:tcPr>
          <w:p>
            <w:pPr>
              <w:spacing w:before="39" w:line="225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z w:val="23"/>
                <w:szCs w:val="23"/>
              </w:rPr>
              <w:t>km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z w:val="23"/>
                <w:szCs w:val="23"/>
              </w:rPr>
              <w:t>h</w:t>
            </w:r>
          </w:p>
        </w:tc>
        <w:tc>
          <w:tcPr>
            <w:tcW w:w="1708" w:type="dxa"/>
            <w:vAlign w:val="top"/>
          </w:tcPr>
          <w:p>
            <w:pPr>
              <w:spacing w:before="39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0 (辆/</w:t>
            </w:r>
            <w:r>
              <w:rPr>
                <w:rFonts w:ascii="仿宋" w:hAnsi="仿宋" w:eastAsia="仿宋" w:cs="仿宋"/>
                <w:sz w:val="23"/>
                <w:szCs w:val="23"/>
              </w:rPr>
              <w:t>h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</w:t>
            </w:r>
          </w:p>
        </w:tc>
      </w:tr>
    </w:tbl>
    <w:p>
      <w:pPr>
        <w:spacing w:line="237" w:lineRule="exact"/>
        <w:rPr>
          <w:rFonts w:ascii="Arial"/>
          <w:sz w:val="20"/>
        </w:rPr>
      </w:pPr>
    </w:p>
    <w:p>
      <w:pPr>
        <w:sectPr>
          <w:footerReference r:id="rId6" w:type="default"/>
          <w:pgSz w:w="11906" w:h="16839"/>
          <w:pgMar w:top="1431" w:right="1735" w:bottom="1220" w:left="1684" w:header="0" w:footer="1033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74" w:line="230" w:lineRule="auto"/>
        <w:ind w:left="19"/>
        <w:outlineLvl w:val="2"/>
        <w:rPr>
          <w:rFonts w:ascii="仿宋" w:hAnsi="仿宋" w:eastAsia="仿宋" w:cs="仿宋"/>
          <w:sz w:val="23"/>
          <w:szCs w:val="23"/>
        </w:rPr>
      </w:pPr>
      <w:bookmarkStart w:id="3" w:name="_bookmark41"/>
      <w:bookmarkEnd w:id="3"/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4.4.3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3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模拟结果及分析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75" w:line="250" w:lineRule="auto"/>
        <w:ind w:left="28" w:right="196" w:firstLine="47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经过软件模拟计算，预测出昼间和夜间两种工况下的场地噪声分布情况，</w:t>
      </w:r>
      <w:r>
        <w:rPr>
          <w:rFonts w:ascii="仿宋" w:hAnsi="仿宋" w:eastAsia="仿宋" w:cs="仿宋"/>
          <w:spacing w:val="1"/>
          <w:sz w:val="23"/>
          <w:szCs w:val="23"/>
        </w:rPr>
        <w:t>包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括场</w:t>
      </w:r>
      <w:r>
        <w:rPr>
          <w:rFonts w:ascii="仿宋" w:hAnsi="仿宋" w:eastAsia="仿宋" w:cs="仿宋"/>
          <w:spacing w:val="17"/>
          <w:sz w:val="23"/>
          <w:szCs w:val="23"/>
        </w:rPr>
        <w:t>地</w:t>
      </w:r>
      <w:r>
        <w:rPr>
          <w:rFonts w:ascii="仿宋" w:hAnsi="仿宋" w:eastAsia="仿宋" w:cs="仿宋"/>
          <w:spacing w:val="9"/>
          <w:sz w:val="23"/>
          <w:szCs w:val="23"/>
        </w:rPr>
        <w:t>噪声平面分布彩图、参评建筑沿建筑底轮廓线 1.5 米高度处噪声分布、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参</w:t>
      </w:r>
      <w:r>
        <w:rPr>
          <w:rFonts w:ascii="仿宋" w:hAnsi="仿宋" w:eastAsia="仿宋" w:cs="仿宋"/>
          <w:spacing w:val="13"/>
          <w:sz w:val="23"/>
          <w:szCs w:val="23"/>
        </w:rPr>
        <w:t>评</w:t>
      </w:r>
      <w:r>
        <w:rPr>
          <w:rFonts w:ascii="仿宋" w:hAnsi="仿宋" w:eastAsia="仿宋" w:cs="仿宋"/>
          <w:spacing w:val="8"/>
          <w:sz w:val="23"/>
          <w:szCs w:val="23"/>
        </w:rPr>
        <w:t>建筑立面噪声级分布等彩色图和数据图。</w:t>
      </w:r>
    </w:p>
    <w:p>
      <w:pPr>
        <w:spacing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(1) 场地噪声分</w:t>
      </w:r>
      <w:r>
        <w:rPr>
          <w:rFonts w:ascii="仿宋" w:hAnsi="仿宋" w:eastAsia="仿宋" w:cs="仿宋"/>
          <w:spacing w:val="17"/>
          <w:sz w:val="23"/>
          <w:szCs w:val="23"/>
        </w:rPr>
        <w:t>布</w:t>
      </w:r>
    </w:p>
    <w:p>
      <w:pPr>
        <w:spacing w:before="71" w:line="3264" w:lineRule="exact"/>
        <w:ind w:firstLine="551"/>
        <w:textAlignment w:val="center"/>
      </w:pPr>
      <w:r>
        <w:drawing>
          <wp:inline distT="0" distB="0" distL="0" distR="0">
            <wp:extent cx="4580890" cy="2072005"/>
            <wp:effectExtent l="0" t="0" r="10160" b="4445"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4"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4"/>
          <w:sz w:val="23"/>
          <w:szCs w:val="23"/>
        </w:rPr>
        <w:t>(</w:t>
      </w:r>
      <w:r>
        <w:rPr>
          <w:rFonts w:ascii="仿宋" w:hAnsi="仿宋" w:eastAsia="仿宋" w:cs="仿宋"/>
          <w:spacing w:val="17"/>
          <w:sz w:val="23"/>
          <w:szCs w:val="23"/>
        </w:rPr>
        <w:t>场地噪声分布俯瞰图)</w:t>
      </w:r>
    </w:p>
    <w:p>
      <w:pPr>
        <w:spacing w:before="27" w:line="244" w:lineRule="auto"/>
        <w:ind w:left="29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初步模拟</w:t>
      </w:r>
      <w:r>
        <w:rPr>
          <w:rFonts w:ascii="仿宋" w:hAnsi="仿宋" w:eastAsia="仿宋" w:cs="仿宋"/>
          <w:spacing w:val="6"/>
          <w:sz w:val="23"/>
          <w:szCs w:val="23"/>
        </w:rPr>
        <w:t>表</w:t>
      </w:r>
      <w:r>
        <w:rPr>
          <w:rFonts w:ascii="仿宋" w:hAnsi="仿宋" w:eastAsia="仿宋" w:cs="仿宋"/>
          <w:spacing w:val="5"/>
          <w:sz w:val="23"/>
          <w:szCs w:val="23"/>
        </w:rPr>
        <w:t>明场地周边道路对地块产生噪声影响较大，可以通过增设绿化带、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种植隔声植物的手法来减少室外噪声对教学楼环境的影响。初步优化后模拟结</w:t>
      </w:r>
      <w:r>
        <w:rPr>
          <w:rFonts w:ascii="仿宋" w:hAnsi="仿宋" w:eastAsia="仿宋" w:cs="仿宋"/>
          <w:spacing w:val="5"/>
          <w:sz w:val="23"/>
          <w:szCs w:val="23"/>
        </w:rPr>
        <w:t>果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如下</w:t>
      </w:r>
      <w:r>
        <w:rPr>
          <w:rFonts w:ascii="仿宋" w:hAnsi="仿宋" w:eastAsia="仿宋" w:cs="仿宋"/>
          <w:sz w:val="23"/>
          <w:szCs w:val="23"/>
        </w:rPr>
        <w:t>。</w:t>
      </w:r>
    </w:p>
    <w:p>
      <w:pPr>
        <w:spacing w:before="14" w:line="3681" w:lineRule="exact"/>
        <w:ind w:firstLine="1706"/>
        <w:textAlignment w:val="center"/>
      </w:pPr>
      <w:r>
        <w:drawing>
          <wp:inline distT="0" distB="0" distL="0" distR="0">
            <wp:extent cx="3108960" cy="2337435"/>
            <wp:effectExtent l="0" t="0" r="15240" b="5715"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4" w:line="312" w:lineRule="exact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5"/>
          <w:sz w:val="23"/>
          <w:szCs w:val="23"/>
        </w:rPr>
        <w:t>(优化后场地噪声分布俯瞰图)</w:t>
      </w:r>
    </w:p>
    <w:p>
      <w:pPr>
        <w:spacing w:line="228" w:lineRule="auto"/>
        <w:ind w:left="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噪</w:t>
      </w:r>
      <w:r>
        <w:rPr>
          <w:rFonts w:ascii="仿宋" w:hAnsi="仿宋" w:eastAsia="仿宋" w:cs="仿宋"/>
          <w:spacing w:val="7"/>
          <w:sz w:val="23"/>
          <w:szCs w:val="23"/>
        </w:rPr>
        <w:t>声敏感建筑噪声分布情况：</w:t>
      </w:r>
    </w:p>
    <w:p>
      <w:pPr>
        <w:spacing w:before="24" w:line="255" w:lineRule="auto"/>
        <w:ind w:left="27" w:right="144" w:firstLine="48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首先对</w:t>
      </w:r>
      <w:r>
        <w:rPr>
          <w:rFonts w:ascii="仿宋" w:hAnsi="仿宋" w:eastAsia="仿宋" w:cs="仿宋"/>
          <w:spacing w:val="7"/>
          <w:sz w:val="23"/>
          <w:szCs w:val="23"/>
        </w:rPr>
        <w:t>原</w:t>
      </w:r>
      <w:r>
        <w:rPr>
          <w:rFonts w:ascii="仿宋" w:hAnsi="仿宋" w:eastAsia="仿宋" w:cs="仿宋"/>
          <w:spacing w:val="6"/>
          <w:sz w:val="23"/>
          <w:szCs w:val="23"/>
        </w:rPr>
        <w:t>设计项目的建筑外轮廓进行了噪声分布情况的分析，结果如下。通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过模拟分析可以看出周围的道路交通会对建筑的声环境产生影响，且建筑昼间和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夜间噪声值未达标。接下来对建筑场地进一步优化，于建筑南侧和西侧增设绿化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带并在建筑北侧设置声隔离带，且对建筑进行优化，噪声敏感的功能体块被切分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6"/>
          <w:sz w:val="23"/>
          <w:szCs w:val="23"/>
        </w:rPr>
        <w:t>并内</w:t>
      </w:r>
      <w:r>
        <w:rPr>
          <w:rFonts w:ascii="仿宋" w:hAnsi="仿宋" w:eastAsia="仿宋" w:cs="仿宋"/>
          <w:spacing w:val="9"/>
          <w:sz w:val="23"/>
          <w:szCs w:val="23"/>
        </w:rPr>
        <w:t>收</w:t>
      </w:r>
      <w:r>
        <w:rPr>
          <w:rFonts w:ascii="仿宋" w:hAnsi="仿宋" w:eastAsia="仿宋" w:cs="仿宋"/>
          <w:spacing w:val="8"/>
          <w:sz w:val="23"/>
          <w:szCs w:val="23"/>
        </w:rPr>
        <w:t>留出外部圈廊。且建筑内部形成了共享中庭，可以营造静谧的学习氛围。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优化后再次进行软件模拟，建筑声环境明显提升，且内部营造了非常宜人的声环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境</w:t>
      </w:r>
      <w:r>
        <w:rPr>
          <w:rFonts w:ascii="仿宋" w:hAnsi="仿宋" w:eastAsia="仿宋" w:cs="仿宋"/>
          <w:spacing w:val="9"/>
          <w:sz w:val="23"/>
          <w:szCs w:val="23"/>
        </w:rPr>
        <w:t>，后续建筑功能布置也将噪声敏感房间靠近共享中庭布置。</w:t>
      </w:r>
    </w:p>
    <w:p>
      <w:pPr>
        <w:sectPr>
          <w:footerReference r:id="rId7" w:type="default"/>
          <w:pgSz w:w="11906" w:h="16839"/>
          <w:pgMar w:top="1431" w:right="1600" w:bottom="1220" w:left="1785" w:header="0" w:footer="1033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5211" w:lineRule="exact"/>
        <w:ind w:left="1317"/>
      </w:pPr>
      <w:r>
        <w:rPr>
          <w:position w:val="-104"/>
        </w:rPr>
        <w:drawing>
          <wp:inline distT="0" distB="0" distL="0" distR="0">
            <wp:extent cx="3614420" cy="3308350"/>
            <wp:effectExtent l="0" t="0" r="5080" b="6350"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4928" cy="330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(</w:t>
      </w:r>
      <w:r>
        <w:rPr>
          <w:rFonts w:ascii="仿宋" w:hAnsi="仿宋" w:eastAsia="仿宋" w:cs="仿宋"/>
          <w:spacing w:val="11"/>
          <w:sz w:val="23"/>
          <w:szCs w:val="23"/>
        </w:rPr>
        <w:t>优</w:t>
      </w:r>
      <w:r>
        <w:rPr>
          <w:rFonts w:ascii="仿宋" w:hAnsi="仿宋" w:eastAsia="仿宋" w:cs="仿宋"/>
          <w:spacing w:val="7"/>
          <w:sz w:val="23"/>
          <w:szCs w:val="23"/>
        </w:rPr>
        <w:t>化前 1.5 米高度处声压级平面分布图昼间)</w:t>
      </w:r>
    </w:p>
    <w:p>
      <w:pPr>
        <w:spacing w:line="402" w:lineRule="auto"/>
        <w:rPr>
          <w:rFonts w:ascii="Arial"/>
          <w:sz w:val="21"/>
        </w:rPr>
      </w:pPr>
    </w:p>
    <w:p>
      <w:pPr>
        <w:spacing w:line="5074" w:lineRule="exact"/>
        <w:ind w:left="1346"/>
      </w:pPr>
      <w:r>
        <w:rPr>
          <w:position w:val="-101"/>
        </w:rPr>
        <w:drawing>
          <wp:inline distT="0" distB="0" distL="0" distR="0">
            <wp:extent cx="3576320" cy="3221355"/>
            <wp:effectExtent l="0" t="0" r="5080" b="17145"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76828" cy="32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4"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(</w:t>
      </w:r>
      <w:r>
        <w:rPr>
          <w:rFonts w:ascii="仿宋" w:hAnsi="仿宋" w:eastAsia="仿宋" w:cs="仿宋"/>
          <w:spacing w:val="11"/>
          <w:sz w:val="23"/>
          <w:szCs w:val="23"/>
        </w:rPr>
        <w:t>优</w:t>
      </w:r>
      <w:r>
        <w:rPr>
          <w:rFonts w:ascii="仿宋" w:hAnsi="仿宋" w:eastAsia="仿宋" w:cs="仿宋"/>
          <w:spacing w:val="7"/>
          <w:sz w:val="23"/>
          <w:szCs w:val="23"/>
        </w:rPr>
        <w:t>化前 1.5 米高度处声压级平面分布图夜间)</w:t>
      </w:r>
    </w:p>
    <w:p>
      <w:pPr>
        <w:sectPr>
          <w:footerReference r:id="rId8" w:type="default"/>
          <w:pgSz w:w="11906" w:h="16839"/>
          <w:pgMar w:top="441" w:right="1785" w:bottom="1218" w:left="1785" w:header="0" w:footer="1033" w:gutter="0"/>
          <w:cols w:space="720" w:num="1"/>
        </w:sectPr>
      </w:pPr>
    </w:p>
    <w:p>
      <w:pPr>
        <w:spacing w:before="54" w:line="6129" w:lineRule="exact"/>
        <w:ind w:firstLine="1302"/>
        <w:textAlignment w:val="center"/>
      </w:pPr>
      <w:r>
        <w:drawing>
          <wp:inline distT="0" distB="0" distL="0" distR="0">
            <wp:extent cx="3625215" cy="3891915"/>
            <wp:effectExtent l="0" t="0" r="13335" b="13335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5595" cy="38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2"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(体</w:t>
      </w:r>
      <w:r>
        <w:rPr>
          <w:rFonts w:ascii="仿宋" w:hAnsi="仿宋" w:eastAsia="仿宋" w:cs="仿宋"/>
          <w:spacing w:val="10"/>
          <w:sz w:val="23"/>
          <w:szCs w:val="23"/>
        </w:rPr>
        <w:t>块</w:t>
      </w:r>
      <w:r>
        <w:rPr>
          <w:rFonts w:ascii="仿宋" w:hAnsi="仿宋" w:eastAsia="仿宋" w:cs="仿宋"/>
          <w:spacing w:val="7"/>
          <w:sz w:val="23"/>
          <w:szCs w:val="23"/>
        </w:rPr>
        <w:t>优化后 1.5 米高度处声压级平面分布图夜间)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5775" w:lineRule="exact"/>
        <w:ind w:firstLine="971"/>
        <w:textAlignment w:val="center"/>
      </w:pPr>
      <w:r>
        <w:drawing>
          <wp:inline distT="0" distB="0" distL="0" distR="0">
            <wp:extent cx="4056380" cy="3666490"/>
            <wp:effectExtent l="0" t="0" r="1270" b="10160"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6888" cy="366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75" w:line="228" w:lineRule="auto"/>
        <w:ind w:left="3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(体</w:t>
      </w:r>
      <w:r>
        <w:rPr>
          <w:rFonts w:ascii="仿宋" w:hAnsi="仿宋" w:eastAsia="仿宋" w:cs="仿宋"/>
          <w:spacing w:val="10"/>
          <w:sz w:val="23"/>
          <w:szCs w:val="23"/>
        </w:rPr>
        <w:t>块</w:t>
      </w:r>
      <w:r>
        <w:rPr>
          <w:rFonts w:ascii="仿宋" w:hAnsi="仿宋" w:eastAsia="仿宋" w:cs="仿宋"/>
          <w:spacing w:val="7"/>
          <w:sz w:val="23"/>
          <w:szCs w:val="23"/>
        </w:rPr>
        <w:t>优化后 1.5 米高度处声压级平面分布图昼间)</w:t>
      </w:r>
    </w:p>
    <w:p>
      <w:pPr>
        <w:sectPr>
          <w:footerReference r:id="rId9" w:type="default"/>
          <w:pgSz w:w="11906" w:h="16839"/>
          <w:pgMar w:top="1431" w:right="1785" w:bottom="1220" w:left="1785" w:header="0" w:footer="1033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74" w:line="221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优</w:t>
      </w:r>
      <w:r>
        <w:rPr>
          <w:rFonts w:ascii="仿宋" w:hAnsi="仿宋" w:eastAsia="仿宋" w:cs="仿宋"/>
          <w:spacing w:val="3"/>
          <w:sz w:val="23"/>
          <w:szCs w:val="23"/>
        </w:rPr>
        <w:t>化前：</w:t>
      </w:r>
    </w:p>
    <w:tbl>
      <w:tblPr>
        <w:tblStyle w:val="4"/>
        <w:tblW w:w="7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709"/>
        <w:gridCol w:w="709"/>
        <w:gridCol w:w="710"/>
        <w:gridCol w:w="71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33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z w:val="23"/>
                <w:szCs w:val="23"/>
              </w:rPr>
              <w:t>型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32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含建筑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42" w:line="223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噪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声最大值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42" w:line="223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噪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声限值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38" w:line="222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昼间</w:t>
            </w:r>
          </w:p>
        </w:tc>
        <w:tc>
          <w:tcPr>
            <w:tcW w:w="709" w:type="dxa"/>
            <w:vAlign w:val="top"/>
          </w:tcPr>
          <w:p>
            <w:pPr>
              <w:spacing w:before="38" w:line="222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夜间</w:t>
            </w:r>
          </w:p>
        </w:tc>
        <w:tc>
          <w:tcPr>
            <w:tcW w:w="710" w:type="dxa"/>
            <w:vAlign w:val="top"/>
          </w:tcPr>
          <w:p>
            <w:pPr>
              <w:spacing w:before="38" w:line="22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昼间</w:t>
            </w:r>
          </w:p>
        </w:tc>
        <w:tc>
          <w:tcPr>
            <w:tcW w:w="710" w:type="dxa"/>
            <w:vAlign w:val="top"/>
          </w:tcPr>
          <w:p>
            <w:pPr>
              <w:spacing w:before="38" w:line="222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夜间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vAlign w:val="top"/>
          </w:tcPr>
          <w:p>
            <w:pPr>
              <w:spacing w:before="39" w:line="225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类</w:t>
            </w:r>
          </w:p>
        </w:tc>
        <w:tc>
          <w:tcPr>
            <w:tcW w:w="1419" w:type="dxa"/>
            <w:vAlign w:val="top"/>
          </w:tcPr>
          <w:p>
            <w:pPr>
              <w:spacing w:before="39" w:line="225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校建筑</w:t>
            </w:r>
          </w:p>
        </w:tc>
        <w:tc>
          <w:tcPr>
            <w:tcW w:w="709" w:type="dxa"/>
            <w:vAlign w:val="top"/>
          </w:tcPr>
          <w:p>
            <w:pPr>
              <w:spacing w:before="81" w:line="186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spacing w:before="83" w:line="18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55</w:t>
            </w:r>
          </w:p>
        </w:tc>
        <w:tc>
          <w:tcPr>
            <w:tcW w:w="710" w:type="dxa"/>
            <w:vAlign w:val="top"/>
          </w:tcPr>
          <w:p>
            <w:pPr>
              <w:spacing w:before="83" w:line="18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55</w:t>
            </w:r>
          </w:p>
        </w:tc>
        <w:tc>
          <w:tcPr>
            <w:tcW w:w="710" w:type="dxa"/>
            <w:vAlign w:val="top"/>
          </w:tcPr>
          <w:p>
            <w:pPr>
              <w:spacing w:before="81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45</w:t>
            </w:r>
          </w:p>
        </w:tc>
        <w:tc>
          <w:tcPr>
            <w:tcW w:w="1425" w:type="dxa"/>
            <w:vAlign w:val="top"/>
          </w:tcPr>
          <w:p>
            <w:pPr>
              <w:spacing w:before="39" w:line="225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未达标</w:t>
            </w:r>
          </w:p>
        </w:tc>
      </w:tr>
    </w:tbl>
    <w:p>
      <w:pPr>
        <w:spacing w:before="35" w:line="222" w:lineRule="auto"/>
        <w:ind w:left="12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优</w:t>
      </w:r>
      <w:r>
        <w:rPr>
          <w:rFonts w:ascii="仿宋" w:hAnsi="仿宋" w:eastAsia="仿宋" w:cs="仿宋"/>
          <w:spacing w:val="3"/>
          <w:sz w:val="23"/>
          <w:szCs w:val="23"/>
        </w:rPr>
        <w:t>化后：</w:t>
      </w:r>
    </w:p>
    <w:tbl>
      <w:tblPr>
        <w:tblStyle w:val="4"/>
        <w:tblW w:w="71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19"/>
        <w:gridCol w:w="709"/>
        <w:gridCol w:w="709"/>
        <w:gridCol w:w="710"/>
        <w:gridCol w:w="71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33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z w:val="23"/>
                <w:szCs w:val="23"/>
              </w:rPr>
              <w:t>型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32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包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含建筑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42" w:line="223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噪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声最大值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spacing w:before="42" w:line="223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噪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声限值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spacing w:before="42" w:line="231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达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before="39" w:line="221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昼间</w:t>
            </w:r>
          </w:p>
        </w:tc>
        <w:tc>
          <w:tcPr>
            <w:tcW w:w="709" w:type="dxa"/>
            <w:vAlign w:val="top"/>
          </w:tcPr>
          <w:p>
            <w:pPr>
              <w:spacing w:before="39" w:line="221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夜间</w:t>
            </w:r>
          </w:p>
        </w:tc>
        <w:tc>
          <w:tcPr>
            <w:tcW w:w="710" w:type="dxa"/>
            <w:vAlign w:val="top"/>
          </w:tcPr>
          <w:p>
            <w:pPr>
              <w:spacing w:before="39" w:line="22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昼间</w:t>
            </w:r>
          </w:p>
        </w:tc>
        <w:tc>
          <w:tcPr>
            <w:tcW w:w="710" w:type="dxa"/>
            <w:vAlign w:val="top"/>
          </w:tcPr>
          <w:p>
            <w:pPr>
              <w:spacing w:before="39" w:line="221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夜间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24" w:type="dxa"/>
            <w:vAlign w:val="top"/>
          </w:tcPr>
          <w:p>
            <w:pPr>
              <w:spacing w:before="40" w:line="224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 xml:space="preserve"> 类</w:t>
            </w:r>
          </w:p>
        </w:tc>
        <w:tc>
          <w:tcPr>
            <w:tcW w:w="1419" w:type="dxa"/>
            <w:vAlign w:val="top"/>
          </w:tcPr>
          <w:p>
            <w:pPr>
              <w:spacing w:before="40" w:line="224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校建筑</w:t>
            </w:r>
          </w:p>
        </w:tc>
        <w:tc>
          <w:tcPr>
            <w:tcW w:w="709" w:type="dxa"/>
            <w:vAlign w:val="top"/>
          </w:tcPr>
          <w:p>
            <w:pPr>
              <w:spacing w:before="84" w:line="184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55</w:t>
            </w:r>
          </w:p>
        </w:tc>
        <w:tc>
          <w:tcPr>
            <w:tcW w:w="709" w:type="dxa"/>
            <w:vAlign w:val="top"/>
          </w:tcPr>
          <w:p>
            <w:pPr>
              <w:spacing w:before="82" w:line="186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45</w:t>
            </w:r>
          </w:p>
        </w:tc>
        <w:tc>
          <w:tcPr>
            <w:tcW w:w="710" w:type="dxa"/>
            <w:vAlign w:val="top"/>
          </w:tcPr>
          <w:p>
            <w:pPr>
              <w:spacing w:before="84" w:line="184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55</w:t>
            </w:r>
          </w:p>
        </w:tc>
        <w:tc>
          <w:tcPr>
            <w:tcW w:w="710" w:type="dxa"/>
            <w:vAlign w:val="top"/>
          </w:tcPr>
          <w:p>
            <w:pPr>
              <w:spacing w:before="82" w:line="18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45</w:t>
            </w:r>
          </w:p>
        </w:tc>
        <w:tc>
          <w:tcPr>
            <w:tcW w:w="1425" w:type="dxa"/>
            <w:vAlign w:val="top"/>
          </w:tcPr>
          <w:p>
            <w:pPr>
              <w:spacing w:before="40" w:line="224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达</w:t>
            </w:r>
            <w:r>
              <w:rPr>
                <w:rFonts w:ascii="仿宋" w:hAnsi="仿宋" w:eastAsia="仿宋" w:cs="仿宋"/>
                <w:sz w:val="23"/>
                <w:szCs w:val="23"/>
              </w:rPr>
              <w:t>标</w:t>
            </w:r>
          </w:p>
        </w:tc>
      </w:tr>
    </w:tbl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74" w:line="232" w:lineRule="auto"/>
        <w:ind w:left="120"/>
        <w:outlineLvl w:val="2"/>
        <w:rPr>
          <w:rFonts w:ascii="仿宋" w:hAnsi="仿宋" w:eastAsia="仿宋" w:cs="仿宋"/>
          <w:sz w:val="23"/>
          <w:szCs w:val="23"/>
        </w:rPr>
      </w:pPr>
      <w:bookmarkStart w:id="4" w:name="_bookmark42"/>
      <w:bookmarkEnd w:id="4"/>
      <w:r>
        <w:rPr>
          <w:rFonts w:ascii="仿宋" w:hAnsi="仿宋" w:eastAsia="仿宋" w:cs="仿宋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4.4.4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结论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75" w:line="250" w:lineRule="auto"/>
        <w:ind w:left="135" w:right="969" w:firstLine="47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《绿色建筑评价标准》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50</w:t>
      </w:r>
      <w:r>
        <w:rPr>
          <w:rFonts w:ascii="仿宋" w:hAnsi="仿宋" w:eastAsia="仿宋" w:cs="仿宋"/>
          <w:spacing w:val="2"/>
          <w:sz w:val="23"/>
          <w:szCs w:val="23"/>
        </w:rPr>
        <w:t>378-2014 第 4.2.5 条的要求：场地内环境噪声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符合现行国</w:t>
      </w:r>
      <w:r>
        <w:rPr>
          <w:rFonts w:ascii="仿宋" w:hAnsi="仿宋" w:eastAsia="仿宋" w:cs="仿宋"/>
          <w:spacing w:val="4"/>
          <w:sz w:val="23"/>
          <w:szCs w:val="23"/>
        </w:rPr>
        <w:t>家标准《声环境质量标准》</w:t>
      </w:r>
      <w:r>
        <w:rPr>
          <w:rFonts w:ascii="仿宋" w:hAnsi="仿宋" w:eastAsia="仿宋" w:cs="仿宋"/>
          <w:sz w:val="23"/>
          <w:szCs w:val="23"/>
        </w:rPr>
        <w:t>GB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3096 的有关规定，评价分值为 4 分。</w:t>
      </w:r>
    </w:p>
    <w:p>
      <w:pPr>
        <w:spacing w:before="1" w:line="264" w:lineRule="auto"/>
        <w:ind w:left="130" w:right="1021" w:firstLine="48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7"/>
          <w:sz w:val="23"/>
          <w:szCs w:val="23"/>
        </w:rPr>
        <w:t>综</w:t>
      </w:r>
      <w:r>
        <w:rPr>
          <w:rFonts w:ascii="仿宋" w:hAnsi="仿宋" w:eastAsia="仿宋" w:cs="仿宋"/>
          <w:spacing w:val="10"/>
          <w:sz w:val="23"/>
          <w:szCs w:val="23"/>
        </w:rPr>
        <w:t>上所述，经过软件模拟和结果统计 ，最终判定本项目满足《绿色建筑评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价标准》</w:t>
      </w:r>
      <w:r>
        <w:rPr>
          <w:rFonts w:ascii="仿宋" w:hAnsi="仿宋" w:eastAsia="仿宋" w:cs="仿宋"/>
          <w:spacing w:val="-1"/>
          <w:sz w:val="23"/>
          <w:szCs w:val="23"/>
        </w:rPr>
        <w:t>GB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50378-20</w:t>
      </w:r>
      <w:r>
        <w:rPr>
          <w:rFonts w:ascii="仿宋" w:hAnsi="仿宋" w:eastAsia="仿宋" w:cs="仿宋"/>
          <w:spacing w:val="-1"/>
          <w:sz w:val="23"/>
          <w:szCs w:val="23"/>
        </w:rPr>
        <w:t>14 第 4.2.5 条，得 4 分。</w:t>
      </w:r>
    </w:p>
    <w:p>
      <w:bookmarkStart w:id="5" w:name="_GoBack"/>
      <w:bookmarkEnd w:id="5"/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76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sz w:val="17"/>
        <w:szCs w:val="17"/>
      </w:rPr>
      <w:t>4</w:t>
    </w:r>
    <w:r>
      <w:rPr>
        <w:rFonts w:ascii="等线" w:hAnsi="等线" w:eastAsia="等线" w:cs="等线"/>
        <w:spacing w:val="3"/>
        <w:sz w:val="17"/>
        <w:szCs w:val="17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78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4"/>
        <w:sz w:val="17"/>
        <w:szCs w:val="17"/>
      </w:rPr>
      <w:t>4</w:t>
    </w:r>
    <w:r>
      <w:rPr>
        <w:rFonts w:ascii="等线" w:hAnsi="等线" w:eastAsia="等线" w:cs="等线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5</w:t>
    </w:r>
    <w:r>
      <w:rPr>
        <w:rFonts w:ascii="等线" w:hAnsi="等线" w:eastAsia="等线" w:cs="等线"/>
        <w:sz w:val="17"/>
        <w:szCs w:val="17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5</w:t>
    </w:r>
    <w:r>
      <w:rPr>
        <w:rFonts w:ascii="等线" w:hAnsi="等线" w:eastAsia="等线" w:cs="等线"/>
        <w:sz w:val="17"/>
        <w:szCs w:val="17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5</w:t>
    </w:r>
    <w:r>
      <w:rPr>
        <w:rFonts w:ascii="等线" w:hAnsi="等线" w:eastAsia="等线" w:cs="等线"/>
        <w:sz w:val="17"/>
        <w:szCs w:val="17"/>
      </w:rPr>
      <w:t>2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6</w:t>
    </w:r>
    <w:r>
      <w:rPr>
        <w:rFonts w:ascii="等线" w:hAnsi="等线" w:eastAsia="等线" w:cs="等线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DU1ZDRlNzcxOWM2OTE4NDY1NmJkNzUwYWM5MzgifQ=="/>
  </w:docVars>
  <w:rsids>
    <w:rsidRoot w:val="0EEA360A"/>
    <w:rsid w:val="02A0117D"/>
    <w:rsid w:val="050560EC"/>
    <w:rsid w:val="0C813955"/>
    <w:rsid w:val="0DDB609A"/>
    <w:rsid w:val="0EEA360A"/>
    <w:rsid w:val="1F1A22A4"/>
    <w:rsid w:val="274413D6"/>
    <w:rsid w:val="28546167"/>
    <w:rsid w:val="31B22151"/>
    <w:rsid w:val="39415D2D"/>
    <w:rsid w:val="3D52106F"/>
    <w:rsid w:val="4D8677F5"/>
    <w:rsid w:val="519C73CB"/>
    <w:rsid w:val="525A0EE0"/>
    <w:rsid w:val="57C724DD"/>
    <w:rsid w:val="5ADB4254"/>
    <w:rsid w:val="61FB4FE9"/>
    <w:rsid w:val="792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5904</Words>
  <Characters>6794</Characters>
  <Lines>0</Lines>
  <Paragraphs>0</Paragraphs>
  <TotalTime>0</TotalTime>
  <ScaleCrop>false</ScaleCrop>
  <LinksUpToDate>false</LinksUpToDate>
  <CharactersWithSpaces>7372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2023-03-05T14:19:00Z</dcterms:created>
  <dc:creator>稳得不行</dc:creator>
  <cp:lastModifiedBy>稳得不行</cp:lastModifiedBy>
  <dcterms:modified xsi:type="dcterms:W3CDTF">2023-03-05T16:41:10Z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710C530ED12D428898CC8FFE80728388</vt:lpwstr>
  </property>
</Properties>
</file>