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郑州市城市环境研究中心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项目名称：郑州市城市环境研究中心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围护结构提高%或负荷降低20%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