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住区热环境设计报告书</w:t>
      </w:r>
    </w:p>
    <w:p>
      <w:pPr>
        <w:pStyle w:val="20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2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/>
                <w:sz w:val="21"/>
              </w:rPr>
              <w:t>疫.医——疫情概念下绿色医院设计</w:t>
            </w:r>
            <w:bookmarkStart w:id="0" w:name="工程名称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焦作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/>
                <w:sz w:val="21"/>
              </w:rPr>
              <w:t>BKA50144</w:t>
            </w: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ascii="宋体" w:hAnsi="宋体"/>
                <w:szCs w:val="21"/>
              </w:rPr>
              <w:t>2020年12月11日</w:t>
            </w:r>
            <w:bookmarkEnd w:id="5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21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住区热环境TERA2020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20200404(SP1)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N99EFEE993A7B4587</w:t>
            </w:r>
            <w:bookmarkEnd w:id="9"/>
          </w:p>
        </w:tc>
      </w:tr>
    </w:tbl>
    <w:p>
      <w:pPr>
        <w:spacing w:line="1000" w:lineRule="exact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</w:p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="等线" w:hAnsiTheme="minorHAnsi" w:eastAsiaTheme="minorEastAsia" w:cstheme="minorBidi"/>
          <w:b w:val="0"/>
          <w:bCs w:val="0"/>
          <w:szCs w:val="22"/>
        </w:rPr>
      </w:pPr>
      <w:bookmarkStart w:id="10" w:name="目录"/>
      <w:bookmarkEnd w:id="10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"_Toc58598840" </w:instrText>
      </w:r>
      <w:r>
        <w:fldChar w:fldCharType="separate"/>
      </w:r>
      <w:r>
        <w:rPr>
          <w:rStyle w:val="26"/>
        </w:rPr>
        <w:t>1</w:t>
      </w:r>
      <w:r>
        <w:rPr>
          <w:rFonts w:ascii="等线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住区概况</w:t>
      </w:r>
      <w:r>
        <w:tab/>
      </w:r>
      <w:r>
        <w:fldChar w:fldCharType="begin"/>
      </w:r>
      <w:r>
        <w:instrText xml:space="preserve"> PAGEREF _Toc58598840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="等线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"_Toc58598841" </w:instrText>
      </w:r>
      <w:r>
        <w:fldChar w:fldCharType="separate"/>
      </w:r>
      <w:r>
        <w:rPr>
          <w:rStyle w:val="26"/>
        </w:rPr>
        <w:t>2</w:t>
      </w:r>
      <w:r>
        <w:rPr>
          <w:rFonts w:ascii="等线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设计依据</w:t>
      </w:r>
      <w:r>
        <w:tab/>
      </w:r>
      <w:r>
        <w:fldChar w:fldCharType="begin"/>
      </w:r>
      <w:r>
        <w:instrText xml:space="preserve"> PAGEREF _Toc58598841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="等线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"_Toc58598842" </w:instrText>
      </w:r>
      <w:r>
        <w:fldChar w:fldCharType="separate"/>
      </w:r>
      <w:r>
        <w:rPr>
          <w:rStyle w:val="26"/>
        </w:rPr>
        <w:t>3</w:t>
      </w:r>
      <w:r>
        <w:rPr>
          <w:rFonts w:ascii="等线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计算规定</w:t>
      </w:r>
      <w:r>
        <w:tab/>
      </w:r>
      <w:r>
        <w:fldChar w:fldCharType="begin"/>
      </w:r>
      <w:r>
        <w:instrText xml:space="preserve"> PAGEREF _Toc58598842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rPr>
          <w:rFonts w:ascii="等线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"_Toc58598843" </w:instrText>
      </w:r>
      <w:r>
        <w:fldChar w:fldCharType="separate"/>
      </w:r>
      <w:r>
        <w:rPr>
          <w:rStyle w:val="26"/>
          <w:lang w:val="en-GB"/>
        </w:rPr>
        <w:t>3.1</w:t>
      </w:r>
      <w:r>
        <w:rPr>
          <w:rFonts w:ascii="等线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强制条文</w:t>
      </w:r>
      <w:r>
        <w:tab/>
      </w:r>
      <w:r>
        <w:fldChar w:fldCharType="begin"/>
      </w:r>
      <w:r>
        <w:instrText xml:space="preserve"> PAGEREF _Toc58598843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rPr>
          <w:rFonts w:ascii="等线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"_Toc58598844" </w:instrText>
      </w:r>
      <w:r>
        <w:fldChar w:fldCharType="separate"/>
      </w:r>
      <w:r>
        <w:rPr>
          <w:rStyle w:val="26"/>
          <w:lang w:val="en-GB"/>
        </w:rPr>
        <w:t>3.2</w:t>
      </w:r>
      <w:r>
        <w:rPr>
          <w:rFonts w:ascii="等线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规定性设计</w:t>
      </w:r>
      <w:r>
        <w:tab/>
      </w:r>
      <w:r>
        <w:fldChar w:fldCharType="begin"/>
      </w:r>
      <w:r>
        <w:instrText xml:space="preserve"> PAGEREF _Toc58598844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="等线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"_Toc58598845" </w:instrText>
      </w:r>
      <w:r>
        <w:fldChar w:fldCharType="separate"/>
      </w:r>
      <w:r>
        <w:rPr>
          <w:rStyle w:val="26"/>
        </w:rPr>
        <w:t>4</w:t>
      </w:r>
      <w:r>
        <w:rPr>
          <w:rFonts w:ascii="等线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计算参数</w:t>
      </w:r>
      <w:r>
        <w:tab/>
      </w:r>
      <w:r>
        <w:fldChar w:fldCharType="begin"/>
      </w:r>
      <w:r>
        <w:instrText xml:space="preserve"> PAGEREF _Toc58598845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rPr>
          <w:rFonts w:ascii="等线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"_Toc58598846" </w:instrText>
      </w:r>
      <w:r>
        <w:fldChar w:fldCharType="separate"/>
      </w:r>
      <w:r>
        <w:rPr>
          <w:rStyle w:val="26"/>
          <w:lang w:val="en-GB"/>
        </w:rPr>
        <w:t>4.1</w:t>
      </w:r>
      <w:r>
        <w:rPr>
          <w:rFonts w:ascii="等线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典型气象日气象参数</w:t>
      </w:r>
      <w:r>
        <w:tab/>
      </w:r>
      <w:r>
        <w:fldChar w:fldCharType="begin"/>
      </w:r>
      <w:r>
        <w:instrText xml:space="preserve"> PAGEREF _Toc58598846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rPr>
          <w:rFonts w:ascii="等线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"_Toc58598847" </w:instrText>
      </w:r>
      <w:r>
        <w:fldChar w:fldCharType="separate"/>
      </w:r>
      <w:r>
        <w:rPr>
          <w:rStyle w:val="26"/>
          <w:lang w:val="en-GB"/>
        </w:rPr>
        <w:t>4.2</w:t>
      </w:r>
      <w:r>
        <w:rPr>
          <w:rFonts w:ascii="等线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渗透面夏季逐时蒸发量</w:t>
      </w:r>
      <w:r>
        <w:tab/>
      </w:r>
      <w:r>
        <w:fldChar w:fldCharType="begin"/>
      </w:r>
      <w:r>
        <w:instrText xml:space="preserve"> PAGEREF _Toc58598847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rFonts w:ascii="等线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"_Toc58598848" </w:instrText>
      </w:r>
      <w:r>
        <w:fldChar w:fldCharType="separate"/>
      </w:r>
      <w:r>
        <w:rPr>
          <w:rStyle w:val="26"/>
        </w:rPr>
        <w:t>5</w:t>
      </w:r>
      <w:r>
        <w:rPr>
          <w:rFonts w:ascii="等线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住区指标概览</w:t>
      </w:r>
      <w:r>
        <w:tab/>
      </w:r>
      <w:r>
        <w:fldChar w:fldCharType="begin"/>
      </w:r>
      <w:r>
        <w:instrText xml:space="preserve"> PAGEREF _Toc58598848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rPr>
          <w:rFonts w:ascii="等线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"_Toc58598849" </w:instrText>
      </w:r>
      <w:r>
        <w:fldChar w:fldCharType="separate"/>
      </w:r>
      <w:r>
        <w:rPr>
          <w:rStyle w:val="26"/>
        </w:rPr>
        <w:t>6</w:t>
      </w:r>
      <w:r>
        <w:rPr>
          <w:rFonts w:ascii="等线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强制性设计指标</w:t>
      </w:r>
      <w:r>
        <w:tab/>
      </w:r>
      <w:r>
        <w:fldChar w:fldCharType="begin"/>
      </w:r>
      <w:r>
        <w:instrText xml:space="preserve"> PAGEREF _Toc58598849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8"/>
        <w:rPr>
          <w:rFonts w:ascii="等线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"_Toc58598850" </w:instrText>
      </w:r>
      <w:r>
        <w:fldChar w:fldCharType="separate"/>
      </w:r>
      <w:r>
        <w:rPr>
          <w:rStyle w:val="26"/>
          <w:lang w:val="en-GB"/>
        </w:rPr>
        <w:t>6.1</w:t>
      </w:r>
      <w:r>
        <w:rPr>
          <w:rFonts w:ascii="等线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平均迎风面积比</w:t>
      </w:r>
      <w:r>
        <w:tab/>
      </w:r>
      <w:r>
        <w:fldChar w:fldCharType="begin"/>
      </w:r>
      <w:r>
        <w:instrText xml:space="preserve"> PAGEREF _Toc58598850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8"/>
        <w:rPr>
          <w:rFonts w:ascii="等线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"_Toc58598851" </w:instrText>
      </w:r>
      <w:r>
        <w:fldChar w:fldCharType="separate"/>
      </w:r>
      <w:r>
        <w:rPr>
          <w:rStyle w:val="26"/>
          <w:lang w:val="en-GB"/>
        </w:rPr>
        <w:t>6.2</w:t>
      </w:r>
      <w:r>
        <w:rPr>
          <w:rFonts w:ascii="等线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活动场地遮阳覆盖率</w:t>
      </w:r>
      <w:r>
        <w:tab/>
      </w:r>
      <w:r>
        <w:fldChar w:fldCharType="begin"/>
      </w:r>
      <w:r>
        <w:instrText xml:space="preserve"> PAGEREF _Toc58598851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rFonts w:ascii="等线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"_Toc58598852" </w:instrText>
      </w:r>
      <w:r>
        <w:fldChar w:fldCharType="separate"/>
      </w:r>
      <w:r>
        <w:rPr>
          <w:rStyle w:val="26"/>
        </w:rPr>
        <w:t>7</w:t>
      </w:r>
      <w:r>
        <w:rPr>
          <w:rFonts w:ascii="等线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规定性设计指标</w:t>
      </w:r>
      <w:r>
        <w:tab/>
      </w:r>
      <w:r>
        <w:fldChar w:fldCharType="begin"/>
      </w:r>
      <w:r>
        <w:instrText xml:space="preserve"> PAGEREF _Toc58598852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8"/>
        <w:rPr>
          <w:rFonts w:ascii="等线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"_Toc58598853" </w:instrText>
      </w:r>
      <w:r>
        <w:fldChar w:fldCharType="separate"/>
      </w:r>
      <w:r>
        <w:rPr>
          <w:rStyle w:val="26"/>
          <w:lang w:val="en-GB"/>
        </w:rPr>
        <w:t>7.1</w:t>
      </w:r>
      <w:r>
        <w:rPr>
          <w:rFonts w:ascii="等线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底层通风架空率</w:t>
      </w:r>
      <w:r>
        <w:tab/>
      </w:r>
      <w:r>
        <w:fldChar w:fldCharType="begin"/>
      </w:r>
      <w:r>
        <w:instrText xml:space="preserve"> PAGEREF _Toc58598853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8"/>
        <w:rPr>
          <w:rFonts w:ascii="等线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"_Toc58598854" </w:instrText>
      </w:r>
      <w:r>
        <w:fldChar w:fldCharType="separate"/>
      </w:r>
      <w:r>
        <w:rPr>
          <w:rStyle w:val="26"/>
          <w:lang w:val="en-GB"/>
        </w:rPr>
        <w:t>7.2</w:t>
      </w:r>
      <w:r>
        <w:rPr>
          <w:rFonts w:ascii="等线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绿化遮阳体叶面积指数</w:t>
      </w:r>
      <w:r>
        <w:tab/>
      </w:r>
      <w:r>
        <w:fldChar w:fldCharType="begin"/>
      </w:r>
      <w:r>
        <w:instrText xml:space="preserve"> PAGEREF _Toc58598854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8"/>
        <w:rPr>
          <w:rFonts w:ascii="等线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"_Toc58598855" </w:instrText>
      </w:r>
      <w:r>
        <w:fldChar w:fldCharType="separate"/>
      </w:r>
      <w:r>
        <w:rPr>
          <w:rStyle w:val="26"/>
          <w:lang w:val="en-GB"/>
        </w:rPr>
        <w:t>7.3</w:t>
      </w:r>
      <w:r>
        <w:rPr>
          <w:rFonts w:ascii="等线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渗透蒸发指标</w:t>
      </w:r>
      <w:r>
        <w:tab/>
      </w:r>
      <w:r>
        <w:fldChar w:fldCharType="begin"/>
      </w:r>
      <w:r>
        <w:instrText xml:space="preserve"> PAGEREF _Toc58598855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8"/>
        <w:rPr>
          <w:rFonts w:ascii="等线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"_Toc58598856" </w:instrText>
      </w:r>
      <w:r>
        <w:fldChar w:fldCharType="separate"/>
      </w:r>
      <w:r>
        <w:rPr>
          <w:rStyle w:val="26"/>
          <w:lang w:val="en-GB"/>
        </w:rPr>
        <w:t>7.4</w:t>
      </w:r>
      <w:r>
        <w:rPr>
          <w:rFonts w:ascii="等线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屋面绿化率</w:t>
      </w:r>
      <w:r>
        <w:tab/>
      </w:r>
      <w:r>
        <w:fldChar w:fldCharType="begin"/>
      </w:r>
      <w:r>
        <w:instrText xml:space="preserve"> PAGEREF _Toc58598856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="等线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"_Toc58598857" </w:instrText>
      </w:r>
      <w:r>
        <w:fldChar w:fldCharType="separate"/>
      </w:r>
      <w:r>
        <w:rPr>
          <w:rStyle w:val="26"/>
        </w:rPr>
        <w:t>8</w:t>
      </w:r>
      <w:r>
        <w:rPr>
          <w:rFonts w:ascii="等线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结论</w:t>
      </w:r>
      <w:r>
        <w:tab/>
      </w:r>
      <w:r>
        <w:fldChar w:fldCharType="begin"/>
      </w:r>
      <w:r>
        <w:instrText xml:space="preserve"> PAGEREF _Toc58598857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1" w:name="_Toc58598840"/>
      <w:r>
        <w:rPr>
          <w:rFonts w:hint="eastAsia"/>
        </w:rPr>
        <w:t>住区概况</w:t>
      </w:r>
      <w:bookmarkEnd w:id="11"/>
    </w:p>
    <w:tbl>
      <w:tblPr>
        <w:tblStyle w:val="21"/>
        <w:tblpPr w:leftFromText="180" w:rightFromText="180" w:vertAnchor="text" w:horzAnchor="margin" w:tblpXSpec="center" w:tblpY="191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114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/>
              <w:rPr>
                <w:rFonts w:hint="eastAsia" w:ascii="宋体" w:hAnsi="宋体" w:eastAsia="宋体"/>
                <w:lang w:val="en-US" w:eastAsia="zh-CN"/>
              </w:rPr>
            </w:pPr>
            <w:bookmarkStart w:id="12" w:name="工程名称1"/>
            <w:bookmarkEnd w:id="12"/>
            <w:r>
              <w:rPr>
                <w:rFonts w:ascii="宋体"/>
                <w:sz w:val="21"/>
              </w:rPr>
              <w:t>疫.医——疫情概念下绿色医院设</w:t>
            </w:r>
            <w:r>
              <w:rPr>
                <w:rFonts w:hint="eastAsia" w:ascii="宋体"/>
                <w:sz w:val="21"/>
                <w:lang w:val="en-US" w:eastAsia="zh-CN"/>
              </w:rPr>
              <w:t>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焦作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>
            <w:pPr>
              <w:pStyle w:val="3"/>
              <w:ind w:firstLine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3" w:name="纬度"/>
            <w:r>
              <w:t>3</w:t>
            </w:r>
            <w:bookmarkEnd w:id="13"/>
            <w:r>
              <w:rPr>
                <w:rFonts w:hint="eastAsia"/>
                <w:lang w:val="en-US" w:eastAsia="zh-CN"/>
              </w:rPr>
              <w:t>5.20</w:t>
            </w:r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3" w:type="dxa"/>
          </w:tcPr>
          <w:p>
            <w:pPr>
              <w:pStyle w:val="3"/>
              <w:ind w:firstLine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4" w:name="经度"/>
            <w:r>
              <w:rPr>
                <w:rFonts w:hint="eastAsia"/>
                <w:lang w:val="en-US" w:eastAsia="zh-CN"/>
              </w:rPr>
              <w:t>113.20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/>
              <w:rPr>
                <w:rFonts w:ascii="宋体" w:hAnsi="宋体"/>
                <w:lang w:val="en-US"/>
              </w:rPr>
            </w:pPr>
            <w:bookmarkStart w:id="15" w:name="气候区"/>
            <w:r>
              <w:t>IIA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/>
              <w:rPr>
                <w:rFonts w:ascii="宋体" w:hAnsi="宋体"/>
                <w:lang w:val="en-US"/>
              </w:rPr>
            </w:pPr>
            <w:bookmarkStart w:id="16" w:name="主导风向"/>
            <w:r>
              <w:t>南</w:t>
            </w:r>
            <w:bookmarkEnd w:id="16"/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17" w:name="总图鸟瞰图"/>
      <w:bookmarkEnd w:id="17"/>
      <w:r>
        <w:rPr>
          <w:rFonts w:hint="eastAsia" w:eastAsia="等线"/>
          <w:sz w:val="24"/>
          <w:szCs w:val="24"/>
          <w:lang w:eastAsia="zh-CN"/>
        </w:rPr>
        <w:drawing>
          <wp:inline distT="0" distB="0" distL="114300" distR="114300">
            <wp:extent cx="5269230" cy="3630295"/>
            <wp:effectExtent l="0" t="0" r="1270" b="1905"/>
            <wp:docPr id="1" name="图片 1" descr="总图观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总图观察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3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bookmarkStart w:id="18" w:name="_Toc58598841"/>
      <w:bookmarkStart w:id="19" w:name="TitleFormat"/>
      <w:r>
        <w:rPr>
          <w:rFonts w:hint="eastAsia"/>
        </w:rPr>
        <w:t>设计依据</w:t>
      </w:r>
      <w:bookmarkEnd w:id="18"/>
    </w:p>
    <w:bookmarkEnd w:id="19"/>
    <w:p>
      <w:pPr>
        <w:widowControl w:val="0"/>
        <w:spacing w:line="360" w:lineRule="auto"/>
        <w:ind w:firstLine="420"/>
        <w:rPr>
          <w:kern w:val="2"/>
          <w:szCs w:val="24"/>
          <w:lang w:val="en-US"/>
        </w:rPr>
      </w:pPr>
      <w:bookmarkStart w:id="20" w:name="计算依据"/>
      <w:bookmarkEnd w:id="20"/>
      <w:r>
        <w:rPr>
          <w:rFonts w:hint="eastAsia"/>
          <w:kern w:val="2"/>
          <w:szCs w:val="24"/>
          <w:lang w:val="en-US"/>
        </w:rPr>
        <w:t>《绿色</w:t>
      </w:r>
      <w:r>
        <w:rPr>
          <w:kern w:val="2"/>
          <w:szCs w:val="24"/>
          <w:lang w:val="en-US"/>
        </w:rPr>
        <w:t>建筑评价标准</w:t>
      </w:r>
      <w:r>
        <w:rPr>
          <w:rFonts w:hint="eastAsia"/>
          <w:kern w:val="2"/>
          <w:szCs w:val="24"/>
          <w:lang w:val="en-US"/>
        </w:rPr>
        <w:t>》</w:t>
      </w:r>
      <w:r>
        <w:rPr>
          <w:szCs w:val="21"/>
          <w:lang w:val="en-US"/>
        </w:rPr>
        <w:t>GB/T50378-2019</w:t>
      </w:r>
      <w:r>
        <w:rPr>
          <w:rFonts w:hint="eastAsia"/>
          <w:szCs w:val="21"/>
          <w:lang w:val="en-US"/>
        </w:rPr>
        <w:t>第8.1.2条</w:t>
      </w:r>
      <w:r>
        <w:rPr>
          <w:szCs w:val="21"/>
          <w:lang w:val="en-US"/>
        </w:rPr>
        <w:t>规定：</w:t>
      </w:r>
      <w:r>
        <w:rPr>
          <w:rFonts w:hint="eastAsia"/>
          <w:szCs w:val="21"/>
          <w:lang w:val="en-US"/>
        </w:rPr>
        <w:t>室外</w:t>
      </w:r>
      <w:r>
        <w:rPr>
          <w:szCs w:val="21"/>
          <w:lang w:val="en-US"/>
        </w:rPr>
        <w:t>热环境应满足国家现行有关标准</w:t>
      </w:r>
      <w:r>
        <w:rPr>
          <w:rFonts w:hint="eastAsia"/>
          <w:szCs w:val="21"/>
          <w:lang w:val="en-US"/>
        </w:rPr>
        <w:t>即</w:t>
      </w:r>
      <w:r>
        <w:rPr>
          <w:rFonts w:hint="eastAsia"/>
          <w:kern w:val="2"/>
          <w:szCs w:val="24"/>
          <w:lang w:val="en-US"/>
        </w:rPr>
        <w:t>《城市居住区热环境设计标准》</w:t>
      </w:r>
      <w:r>
        <w:rPr>
          <w:kern w:val="2"/>
          <w:szCs w:val="24"/>
          <w:lang w:val="en-US"/>
        </w:rPr>
        <w:t>JGJ286-2013</w:t>
      </w:r>
      <w:r>
        <w:rPr>
          <w:szCs w:val="21"/>
          <w:lang w:val="en-US"/>
        </w:rPr>
        <w:t>的要求。</w:t>
      </w:r>
    </w:p>
    <w:p>
      <w:pPr>
        <w:pStyle w:val="2"/>
      </w:pPr>
      <w:bookmarkStart w:id="21" w:name="_Toc58598842"/>
      <w:r>
        <w:rPr>
          <w:rFonts w:hint="eastAsia"/>
        </w:rPr>
        <w:t>计算规定</w:t>
      </w:r>
      <w:bookmarkEnd w:id="21"/>
    </w:p>
    <w:p>
      <w:pPr>
        <w:pStyle w:val="3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>
        <w:rPr>
          <w:rFonts w:hint="eastAsia" w:ascii="Arial" w:hAnsi="Arial" w:cs="Arial"/>
          <w:color w:val="333333"/>
          <w:shd w:val="clear" w:color="auto" w:fill="FFFFFF"/>
        </w:rPr>
        <w:t>热环境设计标准》的指标体系包括必须满足的强制性条文，在此基础上采用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>
      <w:pPr>
        <w:pStyle w:val="4"/>
      </w:pPr>
      <w:bookmarkStart w:id="22" w:name="_Toc58598843"/>
      <w:r>
        <w:rPr>
          <w:rFonts w:hint="eastAsia"/>
        </w:rPr>
        <w:t>强制条文</w:t>
      </w:r>
      <w:bookmarkEnd w:id="22"/>
    </w:p>
    <w:p>
      <w:pPr>
        <w:pStyle w:val="3"/>
        <w:spacing w:line="360" w:lineRule="auto"/>
        <w:ind w:firstLine="420"/>
        <w:rPr>
          <w:kern w:val="2"/>
          <w:lang w:val="en-US"/>
        </w:rPr>
      </w:pPr>
      <w:r>
        <w:rPr>
          <w:rFonts w:hint="eastAsia"/>
          <w:kern w:val="2"/>
          <w:lang w:val="en-US"/>
        </w:rPr>
        <w:t>（1）</w:t>
      </w:r>
      <w:r>
        <w:rPr>
          <w:bCs/>
          <w:kern w:val="2"/>
          <w:lang w:val="en-US"/>
        </w:rPr>
        <w:t>4</w:t>
      </w:r>
      <w:r>
        <w:rPr>
          <w:rFonts w:hint="eastAsia"/>
          <w:bCs/>
          <w:kern w:val="2"/>
          <w:lang w:val="en-US"/>
        </w:rPr>
        <w:t>.1.1</w:t>
      </w:r>
      <w:r>
        <w:rPr>
          <w:bCs/>
          <w:kern w:val="2"/>
          <w:lang w:val="en-US"/>
        </w:rPr>
        <w:t xml:space="preserve"> 居住区的夏季平均迎风面积比应符合表4．1．1的规定。</w:t>
      </w:r>
    </w:p>
    <w:p>
      <w:pPr>
        <w:pStyle w:val="19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24"/>
          <w:rFonts w:ascii="Arial" w:hAnsi="Arial" w:cs="Arial"/>
          <w:color w:val="333333"/>
          <w:sz w:val="21"/>
          <w:szCs w:val="21"/>
        </w:rPr>
      </w:pPr>
      <w:r>
        <w:rPr>
          <w:rStyle w:val="24"/>
          <w:rFonts w:ascii="Arial" w:hAnsi="Arial" w:cs="Arial"/>
          <w:color w:val="333333"/>
          <w:sz w:val="21"/>
          <w:szCs w:val="21"/>
        </w:rPr>
        <w:t>表4．1．1 居住区的夏季平均迎风面积比（ζ</w:t>
      </w:r>
      <w:r>
        <w:rPr>
          <w:rStyle w:val="24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24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322" w:type="dxa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III、V</w:t>
            </w:r>
          </w:p>
        </w:tc>
        <w:tc>
          <w:tcPr>
            <w:tcW w:w="2322" w:type="dxa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0.70</w:t>
            </w:r>
          </w:p>
        </w:tc>
      </w:tr>
    </w:tbl>
    <w:p>
      <w:pPr>
        <w:pStyle w:val="1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>
      <w:pPr>
        <w:pStyle w:val="3"/>
        <w:spacing w:line="360" w:lineRule="auto"/>
        <w:ind w:firstLine="420"/>
        <w:rPr>
          <w:kern w:val="2"/>
          <w:lang w:val="en-US"/>
        </w:rPr>
      </w:pPr>
      <w:r>
        <w:rPr>
          <w:rFonts w:hint="eastAsia"/>
          <w:kern w:val="2"/>
          <w:lang w:val="en-US"/>
        </w:rPr>
        <w:t>（2）</w:t>
      </w:r>
      <w:r>
        <w:rPr>
          <w:kern w:val="2"/>
          <w:lang w:val="en-US"/>
        </w:rPr>
        <w:t>4</w:t>
      </w:r>
      <w:r>
        <w:rPr>
          <w:rFonts w:hint="eastAsia"/>
          <w:kern w:val="2"/>
          <w:lang w:val="en-US"/>
        </w:rPr>
        <w:t>.2.1</w:t>
      </w:r>
      <w:r>
        <w:rPr>
          <w:kern w:val="2"/>
          <w:lang w:val="en-US"/>
        </w:rPr>
        <w:t>居住区夏季户外活动场地应有遮阳，遮阳覆盖率不应小于表4．2．1的规定。</w:t>
      </w:r>
    </w:p>
    <w:p>
      <w:pPr>
        <w:pStyle w:val="19"/>
        <w:shd w:val="clear" w:color="auto" w:fill="FFFFFF"/>
        <w:spacing w:before="0" w:beforeAutospacing="0" w:after="0" w:afterAutospacing="0"/>
        <w:ind w:firstLine="420"/>
        <w:jc w:val="center"/>
        <w:rPr>
          <w:rStyle w:val="24"/>
          <w:rFonts w:ascii="Arial" w:hAnsi="Arial" w:cs="Arial"/>
          <w:color w:val="333333"/>
          <w:sz w:val="21"/>
          <w:szCs w:val="21"/>
        </w:rPr>
      </w:pPr>
      <w:r>
        <w:rPr>
          <w:rStyle w:val="24"/>
          <w:rFonts w:ascii="Arial" w:hAnsi="Arial" w:cs="Arial"/>
          <w:color w:val="333333"/>
          <w:sz w:val="21"/>
          <w:szCs w:val="21"/>
        </w:rPr>
        <w:t>表4．2．1 居住区活动场地的遮阳覆盖率限值(％)</w:t>
      </w:r>
    </w:p>
    <w:tbl>
      <w:tblPr>
        <w:tblStyle w:val="22"/>
        <w:tblW w:w="0" w:type="auto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25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restart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建筑气候区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>
            <w:pPr>
              <w:spacing w:line="360" w:lineRule="exact"/>
            </w:pPr>
          </w:p>
        </w:tc>
        <w:tc>
          <w:tcPr>
            <w:tcW w:w="2258" w:type="dxa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268" w:type="dxa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III、IV、V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50</w:t>
            </w:r>
          </w:p>
        </w:tc>
      </w:tr>
    </w:tbl>
    <w:p>
      <w:pPr>
        <w:pStyle w:val="4"/>
      </w:pPr>
      <w:bookmarkStart w:id="23" w:name="_Toc58598844"/>
      <w:r>
        <w:rPr>
          <w:rFonts w:hint="eastAsia"/>
        </w:rPr>
        <w:t>规定性设计</w:t>
      </w:r>
      <w:bookmarkEnd w:id="23"/>
    </w:p>
    <w:p>
      <w:pPr>
        <w:pStyle w:val="3"/>
        <w:spacing w:line="360" w:lineRule="auto"/>
        <w:ind w:firstLine="420"/>
        <w:rPr>
          <w:kern w:val="2"/>
          <w:lang w:val="en-US"/>
        </w:rPr>
      </w:pPr>
      <w:r>
        <w:rPr>
          <w:rFonts w:hint="eastAsia"/>
          <w:kern w:val="2"/>
          <w:lang w:val="en-US"/>
        </w:rPr>
        <w:t>（1）4.1.4：在Ⅲ、Ⅳ、Ⅴ建筑气候区，当夏季主导风向上的建筑物迎风面宽度超过80m时，该建筑底层的通风架空率不应小于10％。</w:t>
      </w:r>
    </w:p>
    <w:p>
      <w:pPr>
        <w:pStyle w:val="3"/>
        <w:spacing w:line="360" w:lineRule="auto"/>
        <w:ind w:firstLine="420"/>
        <w:rPr>
          <w:kern w:val="2"/>
          <w:lang w:val="en-US"/>
        </w:rPr>
      </w:pPr>
      <w:r>
        <w:rPr>
          <w:rFonts w:hint="eastAsia"/>
          <w:kern w:val="2"/>
          <w:lang w:val="en-US"/>
        </w:rPr>
        <w:t>（2）4.2.3：</w:t>
      </w:r>
      <w:r>
        <w:rPr>
          <w:kern w:val="2"/>
          <w:lang w:val="en-US"/>
        </w:rPr>
        <w:t>绿化遮阳体的叶面积指数不应小于3</w:t>
      </w:r>
      <w:r>
        <w:rPr>
          <w:rFonts w:hint="eastAsia"/>
          <w:kern w:val="2"/>
          <w:lang w:val="en-US"/>
        </w:rPr>
        <w:t>.0</w:t>
      </w:r>
      <w:r>
        <w:rPr>
          <w:kern w:val="2"/>
          <w:lang w:val="en-US"/>
        </w:rPr>
        <w:t>。</w:t>
      </w:r>
    </w:p>
    <w:p>
      <w:pPr>
        <w:pStyle w:val="3"/>
        <w:spacing w:line="360" w:lineRule="auto"/>
        <w:ind w:firstLine="420"/>
        <w:rPr>
          <w:kern w:val="2"/>
          <w:lang w:val="en-US"/>
        </w:rPr>
      </w:pPr>
      <w:r>
        <w:rPr>
          <w:rFonts w:hint="eastAsia"/>
          <w:kern w:val="2"/>
          <w:lang w:val="en-US"/>
        </w:rPr>
        <w:t>（3）4.3.1：居住区户外活动场地和人行道路地面应有雨水渗透与蒸发能力，渗透与蒸发指标不应低于表4.3.1的规定。</w:t>
      </w:r>
    </w:p>
    <w:p>
      <w:pPr>
        <w:pStyle w:val="19"/>
        <w:shd w:val="clear" w:color="auto" w:fill="FFFFFF"/>
        <w:spacing w:before="0" w:beforeAutospacing="0" w:after="0" w:afterAutospacing="0"/>
        <w:ind w:firstLine="420"/>
        <w:jc w:val="center"/>
        <w:rPr>
          <w:rStyle w:val="24"/>
          <w:rFonts w:ascii="Arial" w:hAnsi="Arial" w:cs="Arial"/>
          <w:color w:val="333333"/>
          <w:sz w:val="21"/>
          <w:szCs w:val="21"/>
        </w:rPr>
      </w:pPr>
      <w:r>
        <w:rPr>
          <w:rStyle w:val="24"/>
          <w:rFonts w:ascii="Arial" w:hAnsi="Arial" w:cs="Arial"/>
          <w:color w:val="333333"/>
          <w:sz w:val="21"/>
          <w:szCs w:val="21"/>
        </w:rPr>
        <w:t>表4．</w:t>
      </w:r>
      <w:r>
        <w:rPr>
          <w:rStyle w:val="24"/>
          <w:rFonts w:hint="eastAsia" w:ascii="Arial" w:hAnsi="Arial" w:cs="Arial"/>
          <w:color w:val="333333"/>
          <w:sz w:val="21"/>
          <w:szCs w:val="21"/>
        </w:rPr>
        <w:t>3</w:t>
      </w:r>
      <w:r>
        <w:rPr>
          <w:rStyle w:val="24"/>
          <w:rFonts w:ascii="Arial" w:hAnsi="Arial" w:cs="Arial"/>
          <w:color w:val="333333"/>
          <w:sz w:val="21"/>
          <w:szCs w:val="21"/>
        </w:rPr>
        <w:t>．1 居住区</w:t>
      </w:r>
      <w:r>
        <w:rPr>
          <w:rStyle w:val="24"/>
          <w:rFonts w:hint="eastAsia" w:ascii="Arial" w:hAnsi="Arial" w:cs="Arial"/>
          <w:color w:val="333333"/>
          <w:sz w:val="21"/>
          <w:szCs w:val="21"/>
        </w:rPr>
        <w:t>地面渗透蒸发指标</w:t>
      </w:r>
    </w:p>
    <w:tbl>
      <w:tblPr>
        <w:tblStyle w:val="21"/>
        <w:tblW w:w="974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I、II、VI、VII气候区</w:t>
            </w:r>
          </w:p>
        </w:tc>
        <w:tc>
          <w:tcPr>
            <w:tcW w:w="4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III、IV、V气候区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hint="eastAsia" w:ascii="微软雅黑" w:hAnsi="微软雅黑" w:cs="Arial" w:eastAsiaTheme="minorEastAsia"/>
                <w:color w:val="000000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/>
        </w:tc>
      </w:tr>
    </w:tbl>
    <w:p>
      <w:pPr>
        <w:pStyle w:val="3"/>
        <w:spacing w:line="360" w:lineRule="auto"/>
        <w:ind w:firstLine="420"/>
        <w:rPr>
          <w:kern w:val="2"/>
          <w:lang w:val="en-US"/>
        </w:rPr>
      </w:pPr>
      <w:r>
        <w:rPr>
          <w:rFonts w:hint="eastAsia"/>
          <w:kern w:val="2"/>
          <w:lang w:val="en-US"/>
        </w:rPr>
        <w:t>（4）居住区内建筑屋面的绿化面积不应低于可绿化屋面面积的50％。</w:t>
      </w:r>
    </w:p>
    <w:p>
      <w:pPr>
        <w:pStyle w:val="3"/>
        <w:ind w:firstLine="199"/>
        <w:rPr>
          <w:lang w:val="en-US"/>
        </w:rPr>
      </w:pPr>
      <w:r>
        <w:rPr>
          <w:rFonts w:hint="eastAsia"/>
          <w:lang w:val="en-US"/>
        </w:rPr>
        <w:t>当以上4条有任意一条不能满足时候，需要进行评价性设计。</w:t>
      </w:r>
    </w:p>
    <w:p>
      <w:pPr>
        <w:pStyle w:val="2"/>
      </w:pPr>
      <w:bookmarkStart w:id="24" w:name="_Toc58598845"/>
      <w:r>
        <w:rPr>
          <w:rFonts w:hint="eastAsia"/>
        </w:rPr>
        <w:t>计算参数</w:t>
      </w:r>
      <w:bookmarkEnd w:id="24"/>
    </w:p>
    <w:p>
      <w:pPr>
        <w:pStyle w:val="4"/>
      </w:pPr>
      <w:bookmarkStart w:id="25" w:name="_Toc58598846"/>
      <w:r>
        <w:rPr>
          <w:rFonts w:hint="eastAsia"/>
        </w:rPr>
        <w:t>典型气象日气象参数</w:t>
      </w:r>
      <w:bookmarkEnd w:id="25"/>
    </w:p>
    <w:tbl>
      <w:tblPr>
        <w:tblStyle w:val="21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干球温度</w:t>
            </w:r>
          </w:p>
          <w:p>
            <w:pPr>
              <w:jc w:val="center"/>
            </w:pPr>
            <w:r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相对湿度(%)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水平总辐射照度</w:t>
            </w:r>
          </w:p>
          <w:p>
            <w:pPr>
              <w:jc w:val="center"/>
            </w:pPr>
            <w:r>
              <w:t>(W/㎡)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水平散射辐射照度</w:t>
            </w:r>
          </w:p>
          <w:p>
            <w:pPr>
              <w:jc w:val="center"/>
            </w:pPr>
            <w:r>
              <w:t>(W/㎡)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风速(m/s)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主导风向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24.5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1.6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jc w:val="center"/>
            </w:pPr>
            <w:r>
              <w:t>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24.1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1.5</w:t>
            </w:r>
          </w:p>
        </w:tc>
        <w:tc>
          <w:tcPr>
            <w:vMerge w:val="continue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23.6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1.3</w:t>
            </w:r>
          </w:p>
        </w:tc>
        <w:tc>
          <w:tcPr>
            <w:vMerge w:val="continue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23.2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1.4</w:t>
            </w:r>
          </w:p>
        </w:tc>
        <w:tc>
          <w:tcPr>
            <w:vMerge w:val="continue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22.8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1.3</w:t>
            </w:r>
          </w:p>
        </w:tc>
        <w:tc>
          <w:tcPr>
            <w:vMerge w:val="continue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22.6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1.3</w:t>
            </w:r>
          </w:p>
        </w:tc>
        <w:tc>
          <w:tcPr>
            <w:vMerge w:val="continue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22.9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31.86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28.32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1.5</w:t>
            </w:r>
          </w:p>
        </w:tc>
        <w:tc>
          <w:tcPr>
            <w:vMerge w:val="continue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23.5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123.90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97.94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1.6</w:t>
            </w:r>
          </w:p>
        </w:tc>
        <w:tc>
          <w:tcPr>
            <w:vMerge w:val="continue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24.4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230.10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178.18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1.7</w:t>
            </w:r>
          </w:p>
        </w:tc>
        <w:tc>
          <w:tcPr>
            <w:vMerge w:val="continue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25.4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359.90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260.78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1.9</w:t>
            </w:r>
          </w:p>
        </w:tc>
        <w:tc>
          <w:tcPr>
            <w:vMerge w:val="continue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26.4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472.00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322.14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27.3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553.42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378.78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2.1</w:t>
            </w:r>
          </w:p>
        </w:tc>
        <w:tc>
          <w:tcPr>
            <w:vMerge w:val="continue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28.2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607.70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403.56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2.3</w:t>
            </w:r>
          </w:p>
        </w:tc>
        <w:tc>
          <w:tcPr>
            <w:vMerge w:val="continue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28.9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607.70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400.02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2.6</w:t>
            </w:r>
          </w:p>
        </w:tc>
        <w:tc>
          <w:tcPr>
            <w:vMerge w:val="continue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29.4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569.94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384.68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2.8</w:t>
            </w:r>
          </w:p>
        </w:tc>
        <w:tc>
          <w:tcPr>
            <w:vMerge w:val="continue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29.7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495.60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330.40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2.8</w:t>
            </w:r>
          </w:p>
        </w:tc>
        <w:tc>
          <w:tcPr>
            <w:vMerge w:val="continue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29.6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382.32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256.06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2.9</w:t>
            </w:r>
          </w:p>
        </w:tc>
        <w:tc>
          <w:tcPr>
            <w:vMerge w:val="continue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29.3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253.70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177.00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2.9</w:t>
            </w:r>
          </w:p>
        </w:tc>
        <w:tc>
          <w:tcPr>
            <w:vMerge w:val="continue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28.8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129.80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94.40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2.7</w:t>
            </w:r>
          </w:p>
        </w:tc>
        <w:tc>
          <w:tcPr>
            <w:vMerge w:val="continue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28.0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18.88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16.52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2.4</w:t>
            </w:r>
          </w:p>
        </w:tc>
        <w:tc>
          <w:tcPr>
            <w:vMerge w:val="continue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27.2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2.1</w:t>
            </w:r>
          </w:p>
        </w:tc>
        <w:tc>
          <w:tcPr>
            <w:vMerge w:val="continue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26.3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25.6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1.8</w:t>
            </w:r>
          </w:p>
        </w:tc>
        <w:tc>
          <w:tcPr>
            <w:vMerge w:val="continue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25.0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1.7</w:t>
            </w:r>
          </w:p>
        </w:tc>
        <w:tc>
          <w:tcPr>
            <w:vMerge w:val="continue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26.1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201.53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138.70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</w:tcPr>
          <w:p/>
        </w:tc>
      </w:tr>
    </w:tbl>
    <w:p>
      <w:pPr>
        <w:pStyle w:val="3"/>
        <w:ind w:firstLine="0"/>
        <w:rPr>
          <w:lang w:val="en-US"/>
        </w:rPr>
      </w:pPr>
      <w:bookmarkStart w:id="26" w:name="气象参数"/>
      <w:bookmarkEnd w:id="26"/>
    </w:p>
    <w:p>
      <w:pPr>
        <w:pStyle w:val="4"/>
      </w:pPr>
      <w:bookmarkStart w:id="27" w:name="_Toc58598847"/>
      <w:r>
        <w:rPr>
          <w:rFonts w:hint="eastAsia"/>
        </w:rPr>
        <w:t>渗透面夏季逐时蒸发量</w:t>
      </w:r>
      <w:bookmarkEnd w:id="27"/>
    </w:p>
    <w:p>
      <w:pPr>
        <w:pStyle w:val="3"/>
        <w:ind w:firstLine="0"/>
        <w:rPr>
          <w:rFonts w:hint="eastAsia" w:eastAsia="等线"/>
          <w:sz w:val="24"/>
          <w:szCs w:val="24"/>
          <w:lang w:eastAsia="zh-CN"/>
        </w:rPr>
      </w:pPr>
      <w:bookmarkStart w:id="28" w:name="蒸发量参数"/>
      <w:bookmarkEnd w:id="28"/>
      <w:r>
        <w:rPr>
          <w:rFonts w:hint="eastAsia" w:eastAsia="等线"/>
          <w:sz w:val="24"/>
          <w:szCs w:val="24"/>
          <w:lang w:eastAsia="zh-CN"/>
        </w:rPr>
        <w:drawing>
          <wp:inline distT="0" distB="0" distL="114300" distR="114300">
            <wp:extent cx="5295900" cy="2800350"/>
            <wp:effectExtent l="0" t="0" r="0" b="6350"/>
            <wp:docPr id="3" name="图片 2" descr="渗透蒸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渗透蒸发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0"/>
        <w:rPr>
          <w:rFonts w:hint="eastAsia" w:eastAsia="等线"/>
          <w:sz w:val="24"/>
          <w:szCs w:val="24"/>
          <w:lang w:val="en-US" w:eastAsia="zh-CN"/>
        </w:rPr>
      </w:pPr>
      <w:r>
        <w:rPr>
          <w:rFonts w:hint="eastAsia" w:eastAsia="等线"/>
          <w:sz w:val="24"/>
          <w:szCs w:val="24"/>
          <w:lang w:eastAsia="zh-CN"/>
        </w:rPr>
        <w:drawing>
          <wp:inline distT="0" distB="0" distL="114300" distR="114300">
            <wp:extent cx="5272405" cy="2633345"/>
            <wp:effectExtent l="0" t="0" r="10795" b="8255"/>
            <wp:docPr id="6" name="图片 5" descr="逐时蒸发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逐时蒸发量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bookmarkStart w:id="29" w:name="_Toc58598848"/>
      <w:r>
        <w:rPr>
          <w:rFonts w:hint="eastAsia"/>
        </w:rPr>
        <w:t>住区指标概览</w:t>
      </w:r>
      <w:bookmarkEnd w:id="29"/>
    </w:p>
    <w:tbl>
      <w:tblPr>
        <w:tblStyle w:val="21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6"/>
        <w:gridCol w:w="46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地块面积(㎡)</w:t>
            </w:r>
          </w:p>
        </w:tc>
        <w:tc>
          <w:tcPr>
            <w:tcW w:w="4666" w:type="dxa"/>
            <w:vAlign w:val="center"/>
          </w:tcPr>
          <w:p>
            <w:r>
              <w:t>55606.03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建筑密度</w:t>
            </w:r>
          </w:p>
        </w:tc>
        <w:tc>
          <w:tcPr>
            <w:tcW w:w="4666" w:type="dxa"/>
            <w:vAlign w:val="center"/>
          </w:tcPr>
          <w:p>
            <w:r>
              <w:t>0.17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室外面积(㎡)</w:t>
            </w:r>
          </w:p>
        </w:tc>
        <w:tc>
          <w:tcPr>
            <w:tcW w:w="4666" w:type="dxa"/>
            <w:vAlign w:val="center"/>
          </w:tcPr>
          <w:p>
            <w:r>
              <w:t>46409.81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广场面积(㎡)</w:t>
            </w:r>
          </w:p>
        </w:tc>
        <w:tc>
          <w:tcPr>
            <w:tcW w:w="4666" w:type="dxa"/>
            <w:vAlign w:val="center"/>
          </w:tcPr>
          <w:p>
            <w:r>
              <w:t>6638.99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道路面积(㎡)</w:t>
            </w:r>
          </w:p>
        </w:tc>
        <w:tc>
          <w:tcPr>
            <w:tcW w:w="4666" w:type="dxa"/>
            <w:vAlign w:val="center"/>
          </w:tcPr>
          <w:p>
            <w:r>
              <w:t>15803.17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绿地面积(㎡)</w:t>
            </w:r>
          </w:p>
        </w:tc>
        <w:tc>
          <w:tcPr>
            <w:tcW w:w="4666" w:type="dxa"/>
            <w:vAlign w:val="center"/>
          </w:tcPr>
          <w:p>
            <w:r>
              <w:t>16741.77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水面面积(㎡)</w:t>
            </w:r>
          </w:p>
        </w:tc>
        <w:tc>
          <w:tcPr>
            <w:tcW w:w="466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绿化屋面面积(㎡)</w:t>
            </w:r>
          </w:p>
        </w:tc>
        <w:tc>
          <w:tcPr>
            <w:tcW w:w="466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乔木爬藤面积(㎡)</w:t>
            </w:r>
          </w:p>
        </w:tc>
        <w:tc>
          <w:tcPr>
            <w:tcW w:w="4666" w:type="dxa"/>
            <w:vAlign w:val="center"/>
          </w:tcPr>
          <w:p>
            <w:r>
              <w:t>5933.43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亭廊面积(㎡)</w:t>
            </w:r>
          </w:p>
        </w:tc>
        <w:tc>
          <w:tcPr>
            <w:tcW w:w="4666" w:type="dxa"/>
            <w:vAlign w:val="center"/>
          </w:tcPr>
          <w:p>
            <w:r>
              <w:t>4364.56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渗透型硬地面积(㎡)</w:t>
            </w:r>
          </w:p>
        </w:tc>
        <w:tc>
          <w:tcPr>
            <w:tcW w:w="4666" w:type="dxa"/>
            <w:vAlign w:val="center"/>
          </w:tcPr>
          <w:p>
            <w:r>
              <w:t>17638.15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>
            <w:r>
              <w:t>0.77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地面粗糙系数</w:t>
            </w:r>
          </w:p>
        </w:tc>
        <w:tc>
          <w:tcPr>
            <w:tcW w:w="4666" w:type="dxa"/>
            <w:vAlign w:val="center"/>
          </w:tcPr>
          <w:p>
            <w:r>
              <w:t>0.30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平均迎风面积比</w:t>
            </w:r>
          </w:p>
        </w:tc>
        <w:tc>
          <w:tcPr>
            <w:tcW w:w="4666" w:type="dxa"/>
            <w:vAlign w:val="center"/>
          </w:tcPr>
          <w:p>
            <w:r>
              <w:t>0.78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CTTC居住区热时间常数(h)</w:t>
            </w:r>
          </w:p>
        </w:tc>
        <w:tc>
          <w:tcPr>
            <w:tcW w:w="4666" w:type="dxa"/>
            <w:vAlign w:val="center"/>
          </w:tcPr>
          <w:p>
            <w:r>
              <w:t>10.87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绿化遮阳覆盖率(%)</w:t>
            </w:r>
          </w:p>
        </w:tc>
        <w:tc>
          <w:tcPr>
            <w:tcW w:w="4666" w:type="dxa"/>
            <w:vAlign w:val="center"/>
          </w:tcPr>
          <w:p>
            <w:r>
              <w:t>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构筑物遮阳覆盖率(%)</w:t>
            </w:r>
          </w:p>
        </w:tc>
        <w:tc>
          <w:tcPr>
            <w:tcW w:w="4666" w:type="dxa"/>
            <w:vAlign w:val="center"/>
          </w:tcPr>
          <w:p>
            <w:r>
              <w:t>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平均天空角系数</w:t>
            </w:r>
          </w:p>
        </w:tc>
        <w:tc>
          <w:tcPr>
            <w:tcW w:w="4666" w:type="dxa"/>
            <w:vAlign w:val="center"/>
          </w:tcPr>
          <w:p>
            <w:r>
              <w:t>0.63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通风架空率(%)</w:t>
            </w:r>
          </w:p>
        </w:tc>
        <w:tc>
          <w:tcPr>
            <w:tcW w:w="4666" w:type="dxa"/>
            <w:vAlign w:val="center"/>
          </w:tcPr>
          <w:p>
            <w:r>
              <w:t>5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0" w:name="住区指标概览"/>
      <w:bookmarkEnd w:id="30"/>
    </w:p>
    <w:p>
      <w:pPr>
        <w:pStyle w:val="2"/>
      </w:pPr>
      <w:bookmarkStart w:id="31" w:name="_Toc58598849"/>
      <w:r>
        <w:rPr>
          <w:rFonts w:hint="eastAsia"/>
        </w:rPr>
        <w:t>强制性</w:t>
      </w:r>
      <w:r>
        <w:t>设计指标</w:t>
      </w:r>
      <w:bookmarkEnd w:id="31"/>
    </w:p>
    <w:p>
      <w:pPr>
        <w:pStyle w:val="4"/>
        <w:rPr>
          <w:rFonts w:hint="eastAsia"/>
        </w:rPr>
      </w:pPr>
      <w:bookmarkStart w:id="32" w:name="_Toc58598850"/>
      <w:r>
        <w:rPr>
          <w:rFonts w:hint="eastAsia"/>
        </w:rPr>
        <w:t>平均迎风面积比</w:t>
      </w:r>
      <w:bookmarkEnd w:id="32"/>
    </w:p>
    <w:p>
      <w:pPr>
        <w:pStyle w:val="3"/>
      </w:pPr>
      <w:r>
        <w:rPr>
          <w:rFonts w:hint="eastAsia" w:eastAsia="等线"/>
          <w:sz w:val="24"/>
          <w:szCs w:val="24"/>
          <w:lang w:val="en-US" w:eastAsia="zh-CN"/>
        </w:rPr>
        <w:drawing>
          <wp:inline distT="0" distB="0" distL="114300" distR="114300">
            <wp:extent cx="5274310" cy="2392680"/>
            <wp:effectExtent l="0" t="0" r="8890" b="7620"/>
            <wp:docPr id="4" name="图片 3" descr="迎风面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迎风面积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rPr>
          <w:color w:val="4472C4" w:themeColor="accent1"/>
          <w14:textFill>
            <w14:solidFill>
              <w14:schemeClr w14:val="accent1"/>
            </w14:solidFill>
          </w14:textFill>
        </w:rPr>
      </w:pPr>
      <w:bookmarkStart w:id="33" w:name="_Toc58598851"/>
      <w:r>
        <w:rPr>
          <w:rFonts w:hint="eastAsia"/>
          <w:color w:val="4472C4" w:themeColor="accent1"/>
          <w14:textFill>
            <w14:solidFill>
              <w14:schemeClr w14:val="accent1"/>
            </w14:solidFill>
          </w14:textFill>
        </w:rPr>
        <w:t>活动场地遮阳覆盖率</w:t>
      </w:r>
      <w:bookmarkEnd w:id="33"/>
    </w:p>
    <w:p>
      <w:pPr>
        <w:pStyle w:val="2"/>
        <w:rPr>
          <w:rFonts w:hint="eastAsia" w:eastAsia="等线"/>
          <w:sz w:val="24"/>
          <w:szCs w:val="24"/>
          <w:lang w:eastAsia="zh-CN"/>
        </w:rPr>
      </w:pPr>
      <w:r>
        <w:rPr>
          <w:rFonts w:hint="eastAsia" w:eastAsia="等线"/>
          <w:sz w:val="24"/>
          <w:szCs w:val="24"/>
          <w:lang w:eastAsia="zh-CN"/>
        </w:rPr>
        <w:drawing>
          <wp:inline distT="0" distB="0" distL="114300" distR="114300">
            <wp:extent cx="5288915" cy="2362200"/>
            <wp:effectExtent l="0" t="0" r="6985" b="0"/>
            <wp:docPr id="5" name="图片 4" descr="遮阳覆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遮阳覆率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8891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 w:ascii="宋体" w:hAnsi="宋体" w:eastAsia="宋体" w:cs="宋体"/>
          <w:b/>
          <w:bCs/>
          <w:color w:val="4472C4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4472C4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热岛强度</w:t>
      </w:r>
    </w:p>
    <w:p>
      <w:pPr>
        <w:pStyle w:val="3"/>
        <w:rPr>
          <w:rFonts w:hint="eastAsia" w:ascii="宋体" w:hAnsi="宋体" w:eastAsia="宋体" w:cs="宋体"/>
          <w:b/>
          <w:bCs/>
          <w:color w:val="4472C4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eastAsia="等线"/>
          <w:sz w:val="24"/>
          <w:szCs w:val="24"/>
          <w:lang w:eastAsia="zh-CN"/>
        </w:rPr>
        <w:drawing>
          <wp:inline distT="0" distB="0" distL="114300" distR="114300">
            <wp:extent cx="5274310" cy="2665730"/>
            <wp:effectExtent l="0" t="0" r="8890" b="1270"/>
            <wp:docPr id="9" name="图片 8" descr="热岛强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热岛强度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8" w:name="_GoBack"/>
      <w:bookmarkEnd w:id="48"/>
    </w:p>
    <w:p>
      <w:pPr>
        <w:pStyle w:val="4"/>
        <w:rPr>
          <w:color w:val="4472C4" w:themeColor="accent1"/>
          <w14:textFill>
            <w14:solidFill>
              <w14:schemeClr w14:val="accent1"/>
            </w14:solidFill>
          </w14:textFill>
        </w:rPr>
      </w:pPr>
      <w:bookmarkStart w:id="34" w:name="_Toc58598854"/>
      <w:r>
        <w:rPr>
          <w:rFonts w:hint="eastAsia"/>
          <w:color w:val="4472C4" w:themeColor="accent1"/>
          <w14:textFill>
            <w14:solidFill>
              <w14:schemeClr w14:val="accent1"/>
            </w14:solidFill>
          </w14:textFill>
        </w:rPr>
        <w:t>绿化遮阳体叶面积指数</w:t>
      </w:r>
      <w:bookmarkEnd w:id="34"/>
    </w:p>
    <w:p>
      <w:pPr>
        <w:pStyle w:val="3"/>
        <w:ind w:firstLine="420"/>
        <w:rPr>
          <w:lang w:val="en-US"/>
        </w:rPr>
      </w:pPr>
      <w:bookmarkStart w:id="35" w:name="绿化遮阳体叶面积指数"/>
      <w:bookmarkEnd w:id="35"/>
      <w:r>
        <w:rPr>
          <w:rFonts w:hint="eastAsia" w:eastAsia="等线"/>
          <w:sz w:val="24"/>
          <w:szCs w:val="24"/>
          <w:lang w:eastAsia="zh-CN"/>
        </w:rPr>
        <w:drawing>
          <wp:inline distT="0" distB="0" distL="114300" distR="114300">
            <wp:extent cx="5321300" cy="2146300"/>
            <wp:effectExtent l="0" t="0" r="0" b="0"/>
            <wp:docPr id="8" name="图片 7" descr="绿容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绿容率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36" w:name="_Toc58598855"/>
      <w:r>
        <w:rPr>
          <w:rFonts w:hint="eastAsia"/>
        </w:rPr>
        <w:t>渗透蒸发指标</w:t>
      </w:r>
      <w:bookmarkEnd w:id="36"/>
    </w:p>
    <w:tbl>
      <w:tblPr>
        <w:tblStyle w:val="21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地面透水系数k(mm/s)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蒸发量m</w:t>
            </w:r>
          </w:p>
          <w:p>
            <w:pPr>
              <w:jc w:val="center"/>
            </w:pPr>
            <w:r>
              <w:t>(kg/(㎡·d))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广场</w:t>
            </w:r>
          </w:p>
        </w:tc>
        <w:tc>
          <w:tcPr>
            <w:tcW w:w="1866" w:type="dxa"/>
            <w:vAlign w:val="center"/>
          </w:tcPr>
          <w:p>
            <w:r>
              <w:t>1701</w:t>
            </w:r>
          </w:p>
        </w:tc>
        <w:tc>
          <w:tcPr>
            <w:tcW w:w="1866" w:type="dxa"/>
            <w:vAlign w:val="center"/>
          </w:tcPr>
          <w:p>
            <w:r>
              <w:t>0.151</w:t>
            </w:r>
          </w:p>
        </w:tc>
        <w:tc>
          <w:tcPr>
            <w:tcW w:w="1866" w:type="dxa"/>
            <w:vAlign w:val="center"/>
          </w:tcPr>
          <w:p>
            <w:r>
              <w:t>3.00</w:t>
            </w:r>
          </w:p>
        </w:tc>
        <w:tc>
          <w:tcPr>
            <w:tcW w:w="1866" w:type="dxa"/>
            <w:vAlign w:val="center"/>
          </w:tcPr>
          <w:p>
            <w:r>
              <w:t>1.69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游憩场</w:t>
            </w:r>
          </w:p>
        </w:tc>
        <w:tc>
          <w:tcPr>
            <w:tcW w:w="1866" w:type="dxa"/>
            <w:vAlign w:val="center"/>
          </w:tcPr>
          <w:p>
            <w:r>
              <w:t>803</w:t>
            </w:r>
          </w:p>
        </w:tc>
        <w:tc>
          <w:tcPr>
            <w:tcW w:w="1866" w:type="dxa"/>
            <w:vAlign w:val="center"/>
          </w:tcPr>
          <w:p>
            <w:r>
              <w:t>0.071</w:t>
            </w:r>
          </w:p>
        </w:tc>
        <w:tc>
          <w:tcPr>
            <w:tcW w:w="1866" w:type="dxa"/>
            <w:vAlign w:val="center"/>
          </w:tcPr>
          <w:p>
            <w:r>
              <w:t>3.05</w:t>
            </w:r>
          </w:p>
        </w:tc>
        <w:tc>
          <w:tcPr>
            <w:tcW w:w="1866" w:type="dxa"/>
            <w:vAlign w:val="center"/>
          </w:tcPr>
          <w:p>
            <w:r>
              <w:t>1.69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tcW w:w="1866" w:type="dxa"/>
            <w:vAlign w:val="center"/>
          </w:tcPr>
          <w:p>
            <w:r>
              <w:t>6500</w:t>
            </w:r>
          </w:p>
        </w:tc>
        <w:tc>
          <w:tcPr>
            <w:tcW w:w="1866" w:type="dxa"/>
            <w:vAlign w:val="center"/>
          </w:tcPr>
          <w:p>
            <w:r>
              <w:t>0.577</w:t>
            </w:r>
          </w:p>
        </w:tc>
        <w:tc>
          <w:tcPr>
            <w:tcW w:w="1866" w:type="dxa"/>
            <w:vAlign w:val="center"/>
          </w:tcPr>
          <w:p>
            <w:r>
              <w:t>3.18</w:t>
            </w:r>
          </w:p>
        </w:tc>
        <w:tc>
          <w:tcPr>
            <w:tcW w:w="1866" w:type="dxa"/>
            <w:vAlign w:val="center"/>
          </w:tcPr>
          <w:p>
            <w:r>
              <w:t>1.69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停车场</w:t>
            </w:r>
          </w:p>
        </w:tc>
        <w:tc>
          <w:tcPr>
            <w:tcW w:w="1866" w:type="dxa"/>
            <w:vAlign w:val="center"/>
          </w:tcPr>
          <w:p>
            <w:r>
              <w:t>2261</w:t>
            </w:r>
          </w:p>
        </w:tc>
        <w:tc>
          <w:tcPr>
            <w:tcW w:w="1866" w:type="dxa"/>
            <w:vAlign w:val="center"/>
          </w:tcPr>
          <w:p>
            <w:r>
              <w:t>0.201</w:t>
            </w:r>
          </w:p>
        </w:tc>
        <w:tc>
          <w:tcPr>
            <w:tcW w:w="1866" w:type="dxa"/>
            <w:vAlign w:val="center"/>
          </w:tcPr>
          <w:p>
            <w:r>
              <w:t>3.00</w:t>
            </w:r>
          </w:p>
        </w:tc>
        <w:tc>
          <w:tcPr>
            <w:tcW w:w="1866" w:type="dxa"/>
            <w:vAlign w:val="center"/>
          </w:tcPr>
          <w:p>
            <w:r>
              <w:t>1.69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tcW w:w="1866" w:type="dxa"/>
            <w:vAlign w:val="center"/>
          </w:tcPr>
          <w:p>
            <w:r>
              <w:t>11265</w:t>
            </w:r>
          </w:p>
        </w:tc>
        <w:tc>
          <w:tcPr>
            <w:tcW w:w="1866" w:type="dxa"/>
            <w:vAlign w:val="center"/>
          </w:tcPr>
          <w:p>
            <w:r>
              <w:t>1.0</w:t>
            </w:r>
          </w:p>
        </w:tc>
        <w:tc>
          <w:tcPr>
            <w:tcW w:w="1866" w:type="dxa"/>
            <w:vAlign w:val="center"/>
          </w:tcPr>
          <w:p>
            <w:r>
              <w:t>3.11</w:t>
            </w:r>
          </w:p>
        </w:tc>
        <w:tc>
          <w:tcPr>
            <w:tcW w:w="1866" w:type="dxa"/>
            <w:vAlign w:val="center"/>
          </w:tcPr>
          <w:p>
            <w:r>
              <w:t>1.69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7" w:name="渗透蒸发指标"/>
      <w:bookmarkEnd w:id="37"/>
    </w:p>
    <w:tbl>
      <w:tblPr>
        <w:tblStyle w:val="21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3110"/>
        <w:gridCol w:w="31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渗透面积比率(%)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限值(%)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广场</w:t>
            </w:r>
          </w:p>
        </w:tc>
        <w:tc>
          <w:tcPr>
            <w:tcW w:w="3110" w:type="dxa"/>
            <w:vAlign w:val="center"/>
          </w:tcPr>
          <w:p>
            <w:r>
              <w:t>100</w:t>
            </w:r>
          </w:p>
        </w:tc>
        <w:tc>
          <w:tcPr>
            <w:tcW w:w="3110" w:type="dxa"/>
            <w:vAlign w:val="center"/>
          </w:tcPr>
          <w:p>
            <w:r>
              <w:t>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游憩场</w:t>
            </w:r>
          </w:p>
        </w:tc>
        <w:tc>
          <w:tcPr>
            <w:tcW w:w="3110" w:type="dxa"/>
            <w:vAlign w:val="center"/>
          </w:tcPr>
          <w:p>
            <w:r>
              <w:t>100</w:t>
            </w:r>
          </w:p>
        </w:tc>
        <w:tc>
          <w:tcPr>
            <w:tcW w:w="3110" w:type="dxa"/>
            <w:vAlign w:val="center"/>
          </w:tcPr>
          <w:p>
            <w: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tcW w:w="3110" w:type="dxa"/>
            <w:vAlign w:val="center"/>
          </w:tcPr>
          <w:p>
            <w:r>
              <w:t>100</w:t>
            </w:r>
          </w:p>
        </w:tc>
        <w:tc>
          <w:tcPr>
            <w:tcW w:w="3110" w:type="dxa"/>
            <w:vAlign w:val="center"/>
          </w:tcPr>
          <w:p>
            <w: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停车场</w:t>
            </w:r>
          </w:p>
        </w:tc>
        <w:tc>
          <w:tcPr>
            <w:tcW w:w="3110" w:type="dxa"/>
            <w:vAlign w:val="center"/>
          </w:tcPr>
          <w:p>
            <w:r>
              <w:t>100</w:t>
            </w:r>
          </w:p>
        </w:tc>
        <w:tc>
          <w:tcPr>
            <w:tcW w:w="3110" w:type="dxa"/>
            <w:vAlign w:val="center"/>
          </w:tcPr>
          <w:p>
            <w:r>
              <w:t>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2" w:type="dxa"/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渗透与蒸发指标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地面透水系数k(mm/s)</w:t>
            </w:r>
          </w:p>
        </w:tc>
        <w:tc>
          <w:tcPr>
            <w:tcW w:w="3110" w:type="dxa"/>
            <w:vAlign w:val="center"/>
          </w:tcPr>
          <w:p>
            <w:r>
              <w:t>3.11</w:t>
            </w:r>
          </w:p>
        </w:tc>
        <w:tc>
          <w:tcPr>
            <w:tcW w:w="3110" w:type="dxa"/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蒸发量m(kg/(㎡·d))</w:t>
            </w:r>
          </w:p>
        </w:tc>
        <w:tc>
          <w:tcPr>
            <w:tcW w:w="3110" w:type="dxa"/>
            <w:vAlign w:val="center"/>
          </w:tcPr>
          <w:p>
            <w:r>
              <w:t>1.69</w:t>
            </w:r>
          </w:p>
        </w:tc>
        <w:tc>
          <w:tcPr>
            <w:tcW w:w="3110" w:type="dxa"/>
            <w:vAlign w:val="center"/>
          </w:tcPr>
          <w:p>
            <w:r>
              <w:t>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《城市居住区热环境设计标准》4.3.1条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渗透面积比率、透水系数及蒸发量不应低于标准规定限值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4"/>
        <w:rPr>
          <w:rFonts w:hint="eastAsia"/>
        </w:rPr>
      </w:pPr>
      <w:bookmarkStart w:id="38" w:name="_Toc58598856"/>
      <w:r>
        <w:rPr>
          <w:rFonts w:hint="eastAsia"/>
        </w:rPr>
        <w:t>屋面绿化率</w:t>
      </w:r>
      <w:bookmarkEnd w:id="38"/>
    </w:p>
    <w:p>
      <w:pPr>
        <w:pStyle w:val="3"/>
      </w:pPr>
      <w:r>
        <w:rPr>
          <w:rFonts w:hint="eastAsia" w:eastAsia="等线"/>
          <w:sz w:val="24"/>
          <w:szCs w:val="24"/>
          <w:lang w:eastAsia="zh-CN"/>
        </w:rPr>
        <w:drawing>
          <wp:inline distT="0" distB="0" distL="114300" distR="114300">
            <wp:extent cx="5162550" cy="2286635"/>
            <wp:effectExtent l="0" t="0" r="6350" b="12065"/>
            <wp:docPr id="7" name="图片 6" descr="屋面绿化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屋面绿化率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28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bookmarkStart w:id="39" w:name="_Toc58598857"/>
      <w:r>
        <w:rPr>
          <w:rFonts w:hint="eastAsia"/>
        </w:rPr>
        <w:t>结论</w:t>
      </w:r>
      <w:bookmarkEnd w:id="39"/>
    </w:p>
    <w:tbl>
      <w:tblPr>
        <w:tblStyle w:val="21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800"/>
        <w:gridCol w:w="1866"/>
        <w:gridCol w:w="28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bookmarkStart w:id="40" w:name="结论"/>
            <w:bookmarkEnd w:id="4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>
            <w:pPr>
              <w:rPr>
                <w:b/>
              </w:rPr>
            </w:pPr>
            <w:bookmarkStart w:id="41" w:name="平均迎风面积比结论"/>
            <w:r>
              <w:rPr>
                <w:rFonts w:hint="eastAsia"/>
                <w:b/>
              </w:rPr>
              <w:t>满足</w:t>
            </w:r>
            <w:bookmarkEnd w:id="41"/>
          </w:p>
        </w:tc>
        <w:tc>
          <w:tcPr>
            <w:tcW w:w="2800" w:type="dxa"/>
            <w:vMerge w:val="restart"/>
            <w:vAlign w:val="center"/>
          </w:tcPr>
          <w:p>
            <w:r>
              <w:rPr>
                <w:b/>
              </w:rPr>
              <w:t>强制条文，必须满足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/>
        </w:tc>
        <w:tc>
          <w:tcPr>
            <w:tcW w:w="2800" w:type="dxa"/>
            <w:vAlign w:val="center"/>
          </w:tcPr>
          <w:p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>
            <w:pPr>
              <w:rPr>
                <w:b/>
              </w:rPr>
            </w:pPr>
            <w:bookmarkStart w:id="42" w:name="活动场地遮阳覆盖率结论"/>
            <w:r>
              <w:rPr>
                <w:rFonts w:hint="eastAsia"/>
                <w:b/>
              </w:rPr>
              <w:t>满足</w:t>
            </w:r>
            <w:bookmarkEnd w:id="42"/>
          </w:p>
        </w:tc>
        <w:tc>
          <w:tcPr>
            <w:vMerge w:val="continue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t>规定性设计</w:t>
            </w:r>
          </w:p>
        </w:tc>
        <w:tc>
          <w:tcPr>
            <w:tcW w:w="2800" w:type="dxa"/>
            <w:vAlign w:val="center"/>
          </w:tcPr>
          <w:p>
            <w:r>
              <w:t>底层通风架空率</w:t>
            </w:r>
          </w:p>
        </w:tc>
        <w:tc>
          <w:tcPr>
            <w:tcW w:w="1866" w:type="dxa"/>
            <w:vAlign w:val="center"/>
          </w:tcPr>
          <w:p>
            <w:bookmarkStart w:id="43" w:name="底层通风架空率结论"/>
            <w:r>
              <w:t>满足</w:t>
            </w:r>
            <w:bookmarkEnd w:id="43"/>
          </w:p>
        </w:tc>
        <w:tc>
          <w:tcPr>
            <w:tcW w:w="2800" w:type="dxa"/>
            <w:vMerge w:val="restart"/>
            <w:vAlign w:val="center"/>
          </w:tcPr>
          <w:p>
            <w:r>
              <w:t>不满足任意一条时，进行评价性设计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/>
        </w:tc>
        <w:tc>
          <w:tcPr>
            <w:tcW w:w="2800" w:type="dxa"/>
            <w:vAlign w:val="center"/>
          </w:tcPr>
          <w:p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>
            <w:bookmarkStart w:id="44" w:name="绿化遮阳体叶面积指数结论"/>
            <w:r>
              <w:t>满足</w:t>
            </w:r>
            <w:bookmarkEnd w:id="44"/>
          </w:p>
        </w:tc>
        <w:tc>
          <w:tcPr>
            <w:vMerge w:val="continue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/>
        </w:tc>
        <w:tc>
          <w:tcPr>
            <w:tcW w:w="2800" w:type="dxa"/>
            <w:vAlign w:val="center"/>
          </w:tcPr>
          <w:p>
            <w:r>
              <w:t>渗透蒸发指标</w:t>
            </w:r>
          </w:p>
        </w:tc>
        <w:tc>
          <w:tcPr>
            <w:tcW w:w="1866" w:type="dxa"/>
            <w:vAlign w:val="center"/>
          </w:tcPr>
          <w:p>
            <w:bookmarkStart w:id="45" w:name="渗透蒸发指标结论"/>
            <w:r>
              <w:t>满足</w:t>
            </w:r>
            <w:bookmarkEnd w:id="45"/>
          </w:p>
        </w:tc>
        <w:tc>
          <w:tcPr>
            <w:vMerge w:val="continue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/>
        </w:tc>
        <w:tc>
          <w:tcPr>
            <w:tcW w:w="2800" w:type="dxa"/>
            <w:vAlign w:val="center"/>
          </w:tcPr>
          <w:p>
            <w:r>
              <w:t>屋面绿化率</w:t>
            </w:r>
          </w:p>
        </w:tc>
        <w:tc>
          <w:tcPr>
            <w:tcW w:w="1866" w:type="dxa"/>
            <w:vAlign w:val="center"/>
          </w:tcPr>
          <w:p>
            <w:bookmarkStart w:id="46" w:name="屋面绿化率结论"/>
            <w:r>
              <w:t>满足</w:t>
            </w:r>
            <w:bookmarkEnd w:id="46"/>
          </w:p>
        </w:tc>
        <w:tc>
          <w:tcPr>
            <w:vMerge w:val="continue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>
            <w:pPr>
              <w:rPr>
                <w:b/>
              </w:rPr>
            </w:pPr>
            <w:bookmarkStart w:id="47" w:name="总结论"/>
            <w:r>
              <w:rPr>
                <w:rFonts w:hint="eastAsia"/>
                <w:b/>
              </w:rPr>
              <w:t>满足</w:t>
            </w:r>
            <w:bookmarkEnd w:id="47"/>
          </w:p>
        </w:tc>
      </w:tr>
    </w:tbl>
    <w:p>
      <w:pPr>
        <w:pStyle w:val="3"/>
        <w:ind w:firstLine="420"/>
        <w:rPr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5"/>
      </w:rPr>
    </w:pPr>
    <w:r>
      <w:rPr>
        <w:rStyle w:val="25"/>
      </w:rPr>
      <w:fldChar w:fldCharType="begin"/>
    </w:r>
    <w:r>
      <w:rPr>
        <w:rStyle w:val="25"/>
      </w:rPr>
      <w:instrText xml:space="preserve">PAGE  </w:instrText>
    </w:r>
    <w:r>
      <w:rPr>
        <w:rStyle w:val="25"/>
      </w:rPr>
      <w:fldChar w:fldCharType="separate"/>
    </w:r>
    <w:r>
      <w:rPr>
        <w:rStyle w:val="25"/>
      </w:rPr>
      <w:t>1</w:t>
    </w:r>
    <w:r>
      <w:rPr>
        <w:rStyle w:val="25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5"/>
      </w:rPr>
    </w:pPr>
    <w:r>
      <w:rPr>
        <w:rStyle w:val="25"/>
      </w:rPr>
      <w:fldChar w:fldCharType="begin"/>
    </w:r>
    <w:r>
      <w:rPr>
        <w:rStyle w:val="25"/>
      </w:rPr>
      <w:instrText xml:space="preserve">PAGE  </w:instrText>
    </w:r>
    <w:r>
      <w:rPr>
        <w:rStyle w:val="25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5Y2Y5NDk0ZTU1YzBjMGQwYTdjN2Q3NjZiNDcxNDUifQ=="/>
  </w:docVars>
  <w:rsids>
    <w:rsidRoot w:val="00CB3B97"/>
    <w:rsid w:val="0000545C"/>
    <w:rsid w:val="0001409C"/>
    <w:rsid w:val="00026B3F"/>
    <w:rsid w:val="00037A4C"/>
    <w:rsid w:val="00051EA5"/>
    <w:rsid w:val="0005749E"/>
    <w:rsid w:val="000A30EF"/>
    <w:rsid w:val="000B10AF"/>
    <w:rsid w:val="000B2169"/>
    <w:rsid w:val="000B2FE8"/>
    <w:rsid w:val="000C5EBC"/>
    <w:rsid w:val="000D23A3"/>
    <w:rsid w:val="000E6711"/>
    <w:rsid w:val="000F23AD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F17E2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D1A35"/>
    <w:rsid w:val="007E78A4"/>
    <w:rsid w:val="008158CA"/>
    <w:rsid w:val="00832581"/>
    <w:rsid w:val="008329E7"/>
    <w:rsid w:val="008515A6"/>
    <w:rsid w:val="00870C53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63036"/>
    <w:rsid w:val="009744B2"/>
    <w:rsid w:val="009B5732"/>
    <w:rsid w:val="009C3CAA"/>
    <w:rsid w:val="009C61AC"/>
    <w:rsid w:val="009D580B"/>
    <w:rsid w:val="009D7B62"/>
    <w:rsid w:val="009E1384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3B97"/>
    <w:rsid w:val="00CB5853"/>
    <w:rsid w:val="00CC32D0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61B"/>
    <w:rsid w:val="00DC73AD"/>
    <w:rsid w:val="00DD16C4"/>
    <w:rsid w:val="00DD42A2"/>
    <w:rsid w:val="00DD50F9"/>
    <w:rsid w:val="00DE224D"/>
    <w:rsid w:val="00DF1B9E"/>
    <w:rsid w:val="00DF470C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E25F2"/>
    <w:rsid w:val="00FF2243"/>
    <w:rsid w:val="4F92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next w:val="3"/>
    <w:uiPriority w:val="0"/>
    <w:pPr>
      <w:spacing w:before="480"/>
    </w:pPr>
    <w:rPr>
      <w:rFonts w:ascii="Times New Roman" w:hAnsi="Times New Roman" w:eastAsia="宋体" w:cs="Times New Roman"/>
      <w:b/>
      <w:color w:val="345A8A"/>
      <w:sz w:val="32"/>
      <w:lang w:val="en-US" w:eastAsia="zh-CN" w:bidi="ar-SA"/>
    </w:rPr>
  </w:style>
  <w:style w:type="paragraph" w:styleId="4">
    <w:name w:val="heading 2"/>
    <w:next w:val="3"/>
    <w:uiPriority w:val="0"/>
    <w:pPr>
      <w:spacing w:before="200"/>
    </w:pPr>
    <w:rPr>
      <w:rFonts w:ascii="Times New Roman" w:hAnsi="Times New Roman" w:eastAsia="宋体" w:cs="Times New Roman"/>
      <w:b/>
      <w:color w:val="4F81BD"/>
      <w:sz w:val="26"/>
      <w:lang w:val="en-US" w:eastAsia="zh-CN" w:bidi="ar-SA"/>
    </w:rPr>
  </w:style>
  <w:style w:type="paragraph" w:styleId="5">
    <w:name w:val="heading 3"/>
    <w:next w:val="3"/>
    <w:uiPriority w:val="0"/>
    <w:pPr>
      <w:spacing w:before="200"/>
    </w:pPr>
    <w:rPr>
      <w:rFonts w:ascii="Times New Roman" w:hAnsi="Times New Roman" w:eastAsia="宋体" w:cs="Times New Roman"/>
      <w:b/>
      <w:color w:val="4F81BD"/>
      <w:sz w:val="24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3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uiPriority w:val="39"/>
    <w:pPr>
      <w:tabs>
        <w:tab w:val="left" w:pos="900"/>
        <w:tab w:val="left" w:pos="1260"/>
        <w:tab w:val="right" w:leader="dot" w:pos="9360"/>
      </w:tabs>
      <w:ind w:left="210" w:firstLine="21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Subtitle"/>
    <w:basedOn w:val="1"/>
    <w:uiPriority w:val="0"/>
    <w:rPr>
      <w:i/>
      <w:color w:val="4F81BD"/>
      <w:sz w:val="24"/>
    </w:rPr>
  </w:style>
  <w:style w:type="paragraph" w:styleId="18">
    <w:name w:val="toc 2"/>
    <w:basedOn w:val="1"/>
    <w:next w:val="1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19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20">
    <w:name w:val="Title"/>
    <w:basedOn w:val="1"/>
    <w:next w:val="1"/>
    <w:link w:val="27"/>
    <w:uiPriority w:val="0"/>
    <w:pPr>
      <w:spacing w:after="300"/>
    </w:pPr>
    <w:rPr>
      <w:color w:val="17365D"/>
      <w:sz w:val="52"/>
    </w:rPr>
  </w:style>
  <w:style w:type="table" w:styleId="22">
    <w:name w:val="Table Grid"/>
    <w:basedOn w:val="21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basedOn w:val="23"/>
    <w:qFormat/>
    <w:uiPriority w:val="22"/>
    <w:rPr>
      <w:b/>
      <w:bCs/>
    </w:rPr>
  </w:style>
  <w:style w:type="character" w:styleId="25">
    <w:name w:val="page number"/>
    <w:basedOn w:val="23"/>
    <w:uiPriority w:val="0"/>
  </w:style>
  <w:style w:type="character" w:styleId="26">
    <w:name w:val="Hyperlink"/>
    <w:uiPriority w:val="99"/>
    <w:rPr>
      <w:color w:val="0000FF"/>
      <w:u w:val="single"/>
    </w:rPr>
  </w:style>
  <w:style w:type="character" w:customStyle="1" w:styleId="27">
    <w:name w:val="标题 Char"/>
    <w:basedOn w:val="23"/>
    <w:link w:val="20"/>
    <w:uiPriority w:val="0"/>
    <w:rPr>
      <w:rFonts w:ascii="等线 Light" w:hAnsiTheme="majorHAnsi" w:cstheme="majorBidi"/>
      <w:b/>
      <w:bCs/>
      <w:sz w:val="32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Company>ths</Company>
  <Pages>11</Pages>
  <Words>2429</Words>
  <Characters>4181</Characters>
  <Lines>45</Lines>
  <Paragraphs>12</Paragraphs>
  <TotalTime>0</TotalTime>
  <ScaleCrop>false</ScaleCrop>
  <LinksUpToDate>false</LinksUpToDate>
  <CharactersWithSpaces>4239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2020-12-11T09:07:00Z</dcterms:created>
  <dc:creator>human</dc:creator>
  <cp:lastModifiedBy>棠微</cp:lastModifiedBy>
  <cp:lastPrinted>2411-12-31T16:00:00Z</cp:lastPrinted>
  <dcterms:modified xsi:type="dcterms:W3CDTF">2023-03-06T11:33:35Z</dcterms:modified>
  <dc:title>住区热环境规定性设计计算书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FB2A6F9FCE7B40D1829A0D723F0AEF2C</vt:lpwstr>
  </property>
</Properties>
</file>