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464.475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20.501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0.019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643.335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计算碳排放时，一定要把边界确定好。建筑物也好，机器设备也好，都涉及到建造和使用两个过程，甚至还要考虑到报废以后处理的过程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建造过程中，涉及到原料，原料的运输，建造过程中的能耗等等，加上若干年使用过程中的能耗，再加上若干年后建筑物拆除及处理的能耗。把这所有的能耗都考虑上，转化为碳排放。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措施：1.</w:t>
            </w:r>
            <w:r>
              <w:rPr>
                <w:rFonts w:ascii="宋体" w:hAnsi="宋体" w:eastAsia="宋体" w:cs="宋体"/>
                <w:sz w:val="21"/>
                <w:szCs w:val="21"/>
              </w:rPr>
              <w:t>采取清洁能源替代技术、可再生能源替代技术和新能源技术等替代技术积极应对；2、过降低能耗来提高能效和减少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969385" cy="1997710"/>
                  <wp:effectExtent l="0" t="0" r="5715" b="8890"/>
                  <wp:docPr id="1" name="图片 1" descr="碳排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碳排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385" cy="199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GZjY2MwNDQyZTI3OTlkMmRhYTY1NWYxMmQ4NjAifQ=="/>
    <w:docVar w:name="KSO_WPS_MARK_KEY" w:val="4acf602d-2537-44e4-bdd9-7844c18286a0"/>
  </w:docVars>
  <w:rsids>
    <w:rsidRoot w:val="001626AE"/>
    <w:rsid w:val="00074A38"/>
    <w:rsid w:val="001626AE"/>
    <w:rsid w:val="001913DA"/>
    <w:rsid w:val="00A84C9B"/>
    <w:rsid w:val="00D161BB"/>
    <w:rsid w:val="00ED6EB5"/>
    <w:rsid w:val="09214803"/>
    <w:rsid w:val="54EC4DE8"/>
    <w:rsid w:val="7EC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366</Characters>
  <Lines>2</Lines>
  <Paragraphs>1</Paragraphs>
  <TotalTime>43</TotalTime>
  <ScaleCrop>false</ScaleCrop>
  <LinksUpToDate>false</LinksUpToDate>
  <CharactersWithSpaces>386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簖殇</cp:lastModifiedBy>
  <dcterms:modified xsi:type="dcterms:W3CDTF">2023-03-06T08:48:17Z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6AEA032B3E7B4D80ADA27AE0C8D39E57</vt:lpwstr>
  </property>
</Properties>
</file>