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后疫情背景下某高校餐厅绿色低碳改造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