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3"/>
              <w:jc w:val="left"/>
              <w:rPr>
                <w:rFonts w:hint="eastAsia" w:eastAsia="微软雅黑"/>
                <w:lang w:eastAsia="zh-CN"/>
              </w:rPr>
            </w:pPr>
            <w:r>
              <w:rPr>
                <w:rFonts w:hint="eastAsia" w:ascii="宋体" w:hAnsi="宋体"/>
                <w:szCs w:val="21"/>
                <w:lang w:val="en-US" w:eastAsia="zh-CN"/>
              </w:rPr>
              <w:t>拾光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pStyle w:val="3"/>
            </w:pPr>
            <w:bookmarkStart w:id="0" w:name="设计编号"/>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pStyle w:val="3"/>
            </w:pPr>
            <w:bookmarkStart w:id="1" w:name="建设单位"/>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pStyle w:val="3"/>
            </w:pPr>
            <w:bookmarkStart w:id="2" w:name="设计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pStyle w:val="3"/>
            </w:pPr>
            <w:bookmarkStart w:id="3" w:name="审核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pStyle w:val="3"/>
            </w:pPr>
            <w:bookmarkStart w:id="4" w:name="审定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pStyle w:val="3"/>
            </w:pPr>
          </w:p>
        </w:tc>
      </w:tr>
    </w:tbl>
    <w:p>
      <w:pPr>
        <w:rPr>
          <w:rFonts w:ascii="宋体" w:hAnsi="宋体"/>
          <w:b/>
          <w:bCs/>
          <w:sz w:val="30"/>
          <w:szCs w:val="32"/>
        </w:rPr>
      </w:pPr>
    </w:p>
    <w:p>
      <w:pPr>
        <w:rPr>
          <w:rFonts w:ascii="宋体" w:hAnsi="宋体"/>
          <w:b/>
          <w:bCs/>
          <w:sz w:val="30"/>
          <w:szCs w:val="32"/>
        </w:rPr>
      </w:pPr>
      <w:bookmarkStart w:id="5" w:name="二维码"/>
      <w:bookmarkEnd w:id="5"/>
      <w:r>
        <w:drawing>
          <wp:inline distT="0" distB="0" distL="0" distR="0">
            <wp:extent cx="2171700" cy="21717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宋体" w:hAnsi="宋体"/>
          <w:b/>
          <w:bCs/>
          <w:sz w:val="30"/>
          <w:szCs w:val="32"/>
        </w:rPr>
      </w:pPr>
    </w:p>
    <w:p>
      <w:pPr>
        <w:rPr>
          <w:rFonts w:ascii="宋体" w:hAnsi="宋体"/>
          <w:b/>
          <w:bCs/>
          <w:sz w:val="30"/>
          <w:szCs w:val="32"/>
        </w:rPr>
      </w:pPr>
    </w:p>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rPr>
          <w:lang w:val="en-US"/>
        </w:rPr>
      </w:pPr>
      <w:bookmarkStart w:id="6"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_Toc26457 </w:instrText>
          </w:r>
          <w:r>
            <w:fldChar w:fldCharType="separate"/>
          </w:r>
          <w:r>
            <w:rPr>
              <w:rFonts w:hint="eastAsia"/>
            </w:rPr>
            <w:t>1. 建筑概况</w:t>
          </w:r>
          <w:r>
            <w:tab/>
          </w:r>
          <w:r>
            <w:fldChar w:fldCharType="begin"/>
          </w:r>
          <w:r>
            <w:instrText xml:space="preserve"> PAGEREF _Toc26457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_Toc22938 </w:instrText>
          </w:r>
          <w:r>
            <w:rPr>
              <w:bCs/>
              <w:lang w:val="zh-CN"/>
            </w:rPr>
            <w:fldChar w:fldCharType="separate"/>
          </w:r>
          <w:r>
            <w:rPr>
              <w:rFonts w:hint="eastAsia"/>
            </w:rPr>
            <w:t>2. 设计依据</w:t>
          </w:r>
          <w:r>
            <w:tab/>
          </w:r>
          <w:r>
            <w:fldChar w:fldCharType="begin"/>
          </w:r>
          <w:r>
            <w:instrText xml:space="preserve"> PAGEREF _Toc22938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_Toc32765 </w:instrText>
          </w:r>
          <w:r>
            <w:rPr>
              <w:bCs/>
              <w:lang w:val="zh-CN"/>
            </w:rPr>
            <w:fldChar w:fldCharType="separate"/>
          </w:r>
          <w:r>
            <w:rPr>
              <w:rFonts w:hint="eastAsia"/>
            </w:rPr>
            <w:t>3. 计算</w:t>
          </w:r>
          <w:r>
            <w:t>目的</w:t>
          </w:r>
          <w:r>
            <w:tab/>
          </w:r>
          <w:r>
            <w:fldChar w:fldCharType="begin"/>
          </w:r>
          <w:r>
            <w:instrText xml:space="preserve"> PAGEREF _Toc32765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_Toc19664 </w:instrText>
          </w:r>
          <w:r>
            <w:rPr>
              <w:bCs/>
              <w:lang w:val="zh-CN"/>
            </w:rPr>
            <w:fldChar w:fldCharType="separate"/>
          </w:r>
          <w:r>
            <w:rPr>
              <w:rFonts w:hint="eastAsia" w:ascii="微软雅黑" w:hAnsi="微软雅黑"/>
            </w:rPr>
            <w:t>4. 标准要求</w:t>
          </w:r>
          <w:r>
            <w:tab/>
          </w:r>
          <w:r>
            <w:fldChar w:fldCharType="begin"/>
          </w:r>
          <w:r>
            <w:instrText xml:space="preserve"> PAGEREF _Toc19664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_Toc16406 </w:instrText>
          </w:r>
          <w:r>
            <w:rPr>
              <w:bCs/>
              <w:lang w:val="zh-CN"/>
            </w:rPr>
            <w:fldChar w:fldCharType="separate"/>
          </w:r>
          <w:r>
            <w:rPr>
              <w:rFonts w:hint="eastAsia"/>
            </w:rPr>
            <w:t>5. 采光分析</w:t>
          </w:r>
          <w:r>
            <w:t>概述</w:t>
          </w:r>
          <w:r>
            <w:tab/>
          </w:r>
          <w:r>
            <w:fldChar w:fldCharType="begin"/>
          </w:r>
          <w:r>
            <w:instrText xml:space="preserve"> PAGEREF _Toc16406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_Toc19442 </w:instrText>
          </w:r>
          <w:r>
            <w:rPr>
              <w:bCs/>
              <w:lang w:val="zh-CN"/>
            </w:rPr>
            <w:fldChar w:fldCharType="separate"/>
          </w:r>
          <w:r>
            <w:rPr>
              <w:rFonts w:hint="eastAsia"/>
              <w:lang w:val="en-GB"/>
            </w:rPr>
            <w:t xml:space="preserve">5.1 </w:t>
          </w:r>
          <w:r>
            <w:rPr>
              <w:rFonts w:hint="eastAsia"/>
            </w:rPr>
            <w:t>基本原理</w:t>
          </w:r>
          <w:r>
            <w:tab/>
          </w:r>
          <w:r>
            <w:fldChar w:fldCharType="begin"/>
          </w:r>
          <w:r>
            <w:instrText xml:space="preserve"> PAGEREF _Toc19442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_Toc24190 </w:instrText>
          </w:r>
          <w:r>
            <w:rPr>
              <w:bCs/>
              <w:lang w:val="zh-CN"/>
            </w:rPr>
            <w:fldChar w:fldCharType="separate"/>
          </w:r>
          <w:r>
            <w:rPr>
              <w:rFonts w:hint="eastAsia"/>
              <w:lang w:val="en-GB"/>
            </w:rPr>
            <w:t xml:space="preserve">5.2 </w:t>
          </w:r>
          <w:r>
            <w:t>分析软件</w:t>
          </w:r>
          <w:r>
            <w:tab/>
          </w:r>
          <w:r>
            <w:fldChar w:fldCharType="begin"/>
          </w:r>
          <w:r>
            <w:instrText xml:space="preserve"> PAGEREF _Toc24190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_Toc3819 </w:instrText>
          </w:r>
          <w:r>
            <w:rPr>
              <w:bCs/>
              <w:lang w:val="zh-CN"/>
            </w:rPr>
            <w:fldChar w:fldCharType="separate"/>
          </w:r>
          <w:r>
            <w:rPr>
              <w:rFonts w:hint="eastAsia"/>
              <w:lang w:val="en-GB"/>
            </w:rPr>
            <w:t xml:space="preserve">5.3 </w:t>
          </w:r>
          <w:r>
            <w:rPr>
              <w:rFonts w:hint="eastAsia"/>
            </w:rPr>
            <w:t>计算方法</w:t>
          </w:r>
          <w:r>
            <w:tab/>
          </w:r>
          <w:r>
            <w:fldChar w:fldCharType="begin"/>
          </w:r>
          <w:r>
            <w:instrText xml:space="preserve"> PAGEREF _Toc3819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_Toc26149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_Toc26149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_Toc1258 </w:instrText>
          </w:r>
          <w:r>
            <w:rPr>
              <w:bCs/>
              <w:lang w:val="zh-CN"/>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_Toc1258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_Toc24942 </w:instrText>
          </w:r>
          <w:r>
            <w:rPr>
              <w:bCs/>
              <w:lang w:val="zh-CN"/>
            </w:rPr>
            <w:fldChar w:fldCharType="separate"/>
          </w:r>
          <w:r>
            <w:rPr>
              <w:rFonts w:hint="eastAsia"/>
              <w:lang w:val="en-GB"/>
            </w:rPr>
            <w:t xml:space="preserve">6.2 </w:t>
          </w:r>
          <w:r>
            <w:rPr>
              <w:rFonts w:hint="eastAsia"/>
            </w:rPr>
            <w:t>建筑饰面材料参数</w:t>
          </w:r>
          <w:r>
            <w:tab/>
          </w:r>
          <w:r>
            <w:fldChar w:fldCharType="begin"/>
          </w:r>
          <w:r>
            <w:instrText xml:space="preserve"> PAGEREF _Toc24942 \h </w:instrText>
          </w:r>
          <w:r>
            <w:fldChar w:fldCharType="separate"/>
          </w:r>
          <w:r>
            <w:t>6</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_Toc28373 </w:instrText>
          </w:r>
          <w:r>
            <w:rPr>
              <w:bCs/>
              <w:lang w:val="zh-CN"/>
            </w:rPr>
            <w:fldChar w:fldCharType="separate"/>
          </w:r>
          <w:r>
            <w:rPr>
              <w:rFonts w:hint="eastAsia" w:ascii="微软雅黑" w:hAnsi="微软雅黑"/>
            </w:rPr>
            <w:t xml:space="preserve">7. </w:t>
          </w:r>
          <w:r>
            <w:rPr>
              <w:rFonts w:hint="eastAsia"/>
            </w:rPr>
            <w:t>房间模拟</w:t>
          </w:r>
          <w:r>
            <w:t>结果</w:t>
          </w:r>
          <w:r>
            <w:tab/>
          </w:r>
          <w:r>
            <w:fldChar w:fldCharType="begin"/>
          </w:r>
          <w:r>
            <w:instrText xml:space="preserve"> PAGEREF _Toc28373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_Toc13691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_Toc13691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_Toc19949 </w:instrText>
          </w:r>
          <w:r>
            <w:rPr>
              <w:bCs/>
              <w:lang w:val="zh-CN"/>
            </w:rPr>
            <w:fldChar w:fldCharType="separate"/>
          </w:r>
          <w:r>
            <w:rPr>
              <w:rFonts w:hint="eastAsia"/>
            </w:rPr>
            <w:t>9. 结论</w:t>
          </w:r>
          <w:r>
            <w:tab/>
          </w:r>
          <w:r>
            <w:fldChar w:fldCharType="begin"/>
          </w:r>
          <w:r>
            <w:instrText xml:space="preserve"> PAGEREF _Toc19949 \h </w:instrText>
          </w:r>
          <w:r>
            <w:fldChar w:fldCharType="separate"/>
          </w:r>
          <w:r>
            <w:t>9</w:t>
          </w:r>
          <w:r>
            <w:fldChar w:fldCharType="end"/>
          </w:r>
          <w:r>
            <w:rPr>
              <w:bCs/>
              <w:lang w:val="zh-CN"/>
            </w:rPr>
            <w:fldChar w:fldCharType="end"/>
          </w:r>
        </w:p>
        <w:p>
          <w:r>
            <w:rPr>
              <w:bCs/>
              <w:lang w:val="zh-CN"/>
            </w:rPr>
            <w:fldChar w:fldCharType="end"/>
          </w:r>
        </w:p>
      </w:sdtContent>
    </w:sdt>
    <w:bookmarkEnd w:id="6"/>
    <w:p>
      <w:pPr>
        <w:rPr>
          <w:lang w:val="en-US"/>
        </w:rPr>
      </w:pPr>
    </w:p>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7" w:name="_Toc26457"/>
      <w:r>
        <w:rPr>
          <w:rFonts w:hint="eastAsia"/>
        </w:rPr>
        <w:t>建筑概况</w:t>
      </w:r>
      <w:bookmarkEnd w:id="7"/>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tcPr>
          <w:p>
            <w:pPr>
              <w:pStyle w:val="3"/>
              <w:rPr>
                <w:lang w:val="en-US"/>
              </w:rPr>
            </w:pPr>
            <w:bookmarkStart w:id="8" w:name="项目地点"/>
            <w:r>
              <w:t>沈阳</w:t>
            </w:r>
            <w:bookmarkEnd w:id="8"/>
            <w:bookmarkStart w:id="68" w:name="_GoBack"/>
            <w:bookmarkEnd w:id="6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tcPr>
          <w:p>
            <w:pPr>
              <w:pStyle w:val="3"/>
              <w:rPr>
                <w:lang w:val="en-US"/>
              </w:rPr>
            </w:pPr>
            <w:bookmarkStart w:id="9" w:name="光气候分区"/>
            <w:r>
              <w:t>III</w:t>
            </w:r>
            <w:bookmarkEnd w:id="9"/>
          </w:p>
        </w:tc>
        <w:tc>
          <w:tcPr>
            <w:tcW w:w="1757" w:type="dxa"/>
            <w:shd w:val="clear" w:color="auto" w:fill="E0E0E0"/>
          </w:tcPr>
          <w:p>
            <w:pPr>
              <w:pStyle w:val="3"/>
              <w:spacing w:line="360" w:lineRule="exact"/>
              <w:rPr>
                <w:lang w:val="en-US"/>
              </w:rPr>
            </w:pPr>
            <w:r>
              <w:rPr>
                <w:rFonts w:hint="eastAsia"/>
                <w:lang w:val="en-US"/>
              </w:rPr>
              <w:t>光气候系数K</w:t>
            </w:r>
          </w:p>
        </w:tc>
        <w:tc>
          <w:tcPr>
            <w:tcW w:w="2066" w:type="dxa"/>
          </w:tcPr>
          <w:p>
            <w:pPr>
              <w:pStyle w:val="3"/>
              <w:rPr>
                <w:lang w:val="en-US"/>
              </w:rPr>
            </w:pPr>
            <w:bookmarkStart w:id="10" w:name="光气候系数K"/>
            <w:r>
              <w:t>1.00</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tcPr>
          <w:p>
            <w:pPr>
              <w:pStyle w:val="3"/>
              <w:rPr>
                <w:highlight w:val="none"/>
                <w:lang w:val="en-US"/>
              </w:rPr>
            </w:pPr>
            <w:r>
              <w:rPr>
                <w:rFonts w:hint="eastAsia"/>
                <w:highlight w:val="none"/>
                <w:lang w:val="en-US"/>
              </w:rPr>
              <w:t xml:space="preserve">地上  </w:t>
            </w:r>
            <w:r>
              <w:rPr>
                <w:rFonts w:hint="eastAsia"/>
                <w:highlight w:val="none"/>
                <w:lang w:val="en-US" w:eastAsia="zh-CN"/>
              </w:rPr>
              <w:t>3200</w:t>
            </w:r>
            <w:r>
              <w:rPr>
                <w:rFonts w:hint="eastAsia"/>
                <w:highlight w:val="none"/>
              </w:rPr>
              <w:t>㎡</w:t>
            </w:r>
            <w:r>
              <w:rPr>
                <w:rFonts w:hint="eastAsia"/>
                <w:highlight w:val="none"/>
                <w:lang w:val="en-US"/>
              </w:rPr>
              <w:t xml:space="preserve">    地下  </w:t>
            </w:r>
            <w:bookmarkStart w:id="11" w:name="地下建筑面积"/>
            <w:r>
              <w:rPr>
                <w:highlight w:val="none"/>
              </w:rPr>
              <w:t>0.00</w:t>
            </w:r>
            <w:bookmarkEnd w:id="11"/>
            <w:r>
              <w:rPr>
                <w:rFonts w:hint="eastAsia"/>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r>
              <w:rPr>
                <w:rFonts w:hint="eastAsia"/>
                <w:lang w:val="en-US" w:eastAsia="zh-CN"/>
              </w:rPr>
              <w:t>3</w:t>
            </w:r>
            <w:r>
              <w:rPr>
                <w:rFonts w:hint="eastAsia"/>
                <w:lang w:val="en-US"/>
              </w:rPr>
              <w:t xml:space="preserve">         地下 </w:t>
            </w:r>
            <w:bookmarkStart w:id="12" w:name="地下建筑层数"/>
            <w:r>
              <w:t>0</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tcPr>
          <w:p>
            <w:pPr>
              <w:pStyle w:val="3"/>
              <w:rPr>
                <w:highlight w:val="none"/>
                <w:lang w:val="en-US"/>
              </w:rPr>
            </w:pPr>
            <w:r>
              <w:rPr>
                <w:rFonts w:hint="eastAsia"/>
                <w:highlight w:val="none"/>
                <w:lang w:val="en-US"/>
              </w:rPr>
              <w:t xml:space="preserve">地上 </w:t>
            </w:r>
            <w:r>
              <w:rPr>
                <w:rFonts w:hint="eastAsia"/>
                <w:highlight w:val="none"/>
                <w:lang w:val="en-US" w:eastAsia="zh-CN"/>
              </w:rPr>
              <w:t>14.8</w:t>
            </w:r>
            <w:r>
              <w:rPr>
                <w:rFonts w:hint="eastAsia"/>
                <w:highlight w:val="none"/>
                <w:lang w:val="en-US"/>
              </w:rPr>
              <w:t xml:space="preserve"> m     地下  </w:t>
            </w:r>
            <w:bookmarkStart w:id="13" w:name="地下建筑高度"/>
            <w:r>
              <w:rPr>
                <w:highlight w:val="none"/>
              </w:rPr>
              <w:t>0.00</w:t>
            </w:r>
            <w:bookmarkEnd w:id="13"/>
            <w:r>
              <w:rPr>
                <w:rFonts w:hint="eastAsia"/>
                <w:highlight w:val="none"/>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tcPr>
          <w:p>
            <w:pPr>
              <w:pStyle w:val="3"/>
              <w:rPr>
                <w:lang w:val="en-US"/>
              </w:rPr>
            </w:pPr>
            <w:bookmarkStart w:id="14" w:name="备注"/>
            <w:bookmarkEnd w:id="14"/>
          </w:p>
        </w:tc>
      </w:tr>
    </w:tbl>
    <w:p>
      <w:pPr>
        <w:pStyle w:val="3"/>
        <w:jc w:val="both"/>
        <w:rPr>
          <w:lang w:val="en-US"/>
        </w:rPr>
      </w:pPr>
    </w:p>
    <w:p>
      <w:pPr>
        <w:pStyle w:val="2"/>
        <w:ind w:left="432" w:hanging="432"/>
      </w:pPr>
      <w:bookmarkStart w:id="15" w:name="_Toc22938"/>
      <w:r>
        <w:rPr>
          <w:rFonts w:hint="eastAsia"/>
        </w:rPr>
        <w:t>设计依据</w:t>
      </w:r>
      <w:bookmarkEnd w:id="15"/>
    </w:p>
    <w:p>
      <w:pPr>
        <w:pStyle w:val="3"/>
        <w:spacing w:line="360" w:lineRule="exact"/>
        <w:ind w:left="840" w:hanging="420"/>
        <w:rPr>
          <w:lang w:val="en-US"/>
        </w:rPr>
      </w:pPr>
      <w:r>
        <w:rPr>
          <w:rFonts w:hint="eastAsia"/>
          <w:lang w:val="en-US"/>
        </w:rPr>
        <w:t xml:space="preserve">1） 《建筑采光设计标准》 ( </w:t>
      </w:r>
      <w:bookmarkStart w:id="16" w:name="采光标准"/>
      <w:r>
        <w:t>GB50033-2013</w:t>
      </w:r>
      <w:bookmarkEnd w:id="16"/>
      <w:r>
        <w:rPr>
          <w:rFonts w:hint="eastAsia"/>
          <w:lang w:val="en-US"/>
        </w:rPr>
        <w:t xml:space="preserve">) </w:t>
      </w:r>
    </w:p>
    <w:p>
      <w:pPr>
        <w:pStyle w:val="3"/>
        <w:spacing w:line="360" w:lineRule="exact"/>
        <w:ind w:left="840" w:hanging="420"/>
        <w:rPr>
          <w:lang w:val="en-US"/>
        </w:rPr>
      </w:pPr>
      <w:r>
        <w:rPr>
          <w:rFonts w:hint="eastAsia"/>
          <w:lang w:val="en-US"/>
        </w:rPr>
        <w:t>2） 《采光</w:t>
      </w:r>
      <w:r>
        <w:rPr>
          <w:lang w:val="en-US"/>
        </w:rPr>
        <w:t>测量方法</w:t>
      </w:r>
      <w:r>
        <w:rPr>
          <w:rFonts w:hint="eastAsia"/>
          <w:lang w:val="en-US"/>
        </w:rPr>
        <w:t>》GB/T 5699</w:t>
      </w:r>
      <w:r>
        <w:rPr>
          <w:lang w:val="en-US"/>
        </w:rPr>
        <w:t>-2007</w:t>
      </w:r>
    </w:p>
    <w:p>
      <w:pPr>
        <w:pStyle w:val="2"/>
        <w:ind w:left="432" w:hanging="432"/>
      </w:pPr>
      <w:bookmarkStart w:id="17" w:name="_Toc32765"/>
      <w:r>
        <w:rPr>
          <w:rFonts w:hint="eastAsia"/>
        </w:rPr>
        <w:t>计算</w:t>
      </w:r>
      <w:r>
        <w:t>目的</w:t>
      </w:r>
      <w:bookmarkEnd w:id="17"/>
    </w:p>
    <w:p>
      <w:pPr>
        <w:ind w:firstLine="420" w:firstLineChars="200"/>
        <w:jc w:val="left"/>
      </w:pPr>
      <w:r>
        <w:rPr>
          <w:rFonts w:hint="eastAsia"/>
        </w:rPr>
        <w:t>通过软件对目标</w:t>
      </w:r>
      <w:r>
        <w:t>建筑进行采光</w:t>
      </w:r>
      <w:r>
        <w:rPr>
          <w:rFonts w:hint="eastAsia"/>
        </w:rPr>
        <w:t>分析计算，求得建筑内</w:t>
      </w:r>
      <w:r>
        <w:t>房间的</w:t>
      </w:r>
      <w:r>
        <w:rPr>
          <w:rFonts w:hint="eastAsia"/>
        </w:rPr>
        <w:t>平均</w:t>
      </w:r>
      <w:r>
        <w:t>采光系数，</w:t>
      </w:r>
      <w:r>
        <w:rPr>
          <w:rFonts w:hint="eastAsia"/>
        </w:rPr>
        <w:t>从而评价本项目的建筑采光设计是否符合《建筑采光设计标准》的要求。</w:t>
      </w:r>
    </w:p>
    <w:p>
      <w:pPr>
        <w:pStyle w:val="2"/>
        <w:ind w:left="432" w:hanging="432"/>
        <w:rPr>
          <w:rFonts w:ascii="微软雅黑" w:hAnsi="微软雅黑"/>
        </w:rPr>
      </w:pPr>
      <w:bookmarkStart w:id="18" w:name="_Toc19664"/>
      <w:r>
        <w:rPr>
          <w:rFonts w:hint="eastAsia" w:ascii="微软雅黑" w:hAnsi="微软雅黑"/>
        </w:rPr>
        <w:t>标准要求</w:t>
      </w:r>
      <w:bookmarkEnd w:id="18"/>
    </w:p>
    <w:p>
      <w:pPr>
        <w:pStyle w:val="3"/>
        <w:ind w:firstLine="420"/>
        <w:rPr>
          <w:lang w:val="en-US"/>
        </w:rPr>
      </w:pPr>
      <w:r>
        <w:rPr>
          <w:rFonts w:hint="eastAsia"/>
          <w:lang w:val="en-US"/>
        </w:rPr>
        <w:t>本项目为教育建筑，</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jc w:val="left"/>
        <w:rPr>
          <w:rFonts w:ascii="微软雅黑" w:hAnsi="微软雅黑"/>
          <w:b/>
          <w:sz w:val="21"/>
          <w:szCs w:val="21"/>
        </w:rPr>
      </w:pPr>
      <w:r>
        <w:rPr>
          <w:rFonts w:ascii="微软雅黑" w:hAnsi="微软雅黑"/>
          <w:b/>
          <w:sz w:val="21"/>
          <w:szCs w:val="21"/>
        </w:rPr>
        <w:t>《建筑采光设计标准》GB50033-2013关键条文</w:t>
      </w:r>
    </w:p>
    <w:p>
      <w:pPr>
        <w:pStyle w:val="3"/>
        <w:ind w:left="210" w:leftChars="100"/>
      </w:pPr>
      <w:r>
        <w:t>3.0.4  光气候分区应按本标准附录A确定。各光气候区的室外天然光设计照度值应按表3.0.4采用。所在地区的采光系数标准值应乘以相应地区的光气候系数K。</w:t>
      </w:r>
    </w:p>
    <w:p>
      <w:pPr>
        <w:pStyle w:val="3"/>
        <w:jc w:val="center"/>
      </w:pPr>
      <w:r>
        <w:t>表3.0.4  光气候系数K值</w:t>
      </w:r>
    </w:p>
    <w:tbl>
      <w:tblPr>
        <w:tblStyle w:val="19"/>
        <w:tblW w:w="85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337"/>
        <w:gridCol w:w="1337"/>
        <w:gridCol w:w="1337"/>
        <w:gridCol w:w="1337"/>
        <w:gridCol w:w="13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8" w:type="dxa"/>
            <w:vAlign w:val="center"/>
          </w:tcPr>
          <w:p>
            <w:pPr>
              <w:pStyle w:val="3"/>
              <w:jc w:val="center"/>
              <w:rPr>
                <w:kern w:val="2"/>
              </w:rPr>
            </w:pPr>
            <w:r>
              <w:t>光气候区</w:t>
            </w:r>
          </w:p>
        </w:tc>
        <w:tc>
          <w:tcPr>
            <w:tcW w:w="1337" w:type="dxa"/>
            <w:vAlign w:val="center"/>
          </w:tcPr>
          <w:p>
            <w:pPr>
              <w:pStyle w:val="3"/>
              <w:jc w:val="center"/>
              <w:rPr>
                <w:kern w:val="2"/>
              </w:rPr>
            </w:pPr>
            <w:r>
              <w:rPr>
                <w:rFonts w:hint="eastAsia" w:cs="宋体"/>
              </w:rPr>
              <w:t>Ⅰ</w:t>
            </w:r>
          </w:p>
        </w:tc>
        <w:tc>
          <w:tcPr>
            <w:tcW w:w="1337" w:type="dxa"/>
            <w:vAlign w:val="center"/>
          </w:tcPr>
          <w:p>
            <w:pPr>
              <w:pStyle w:val="3"/>
              <w:jc w:val="center"/>
              <w:rPr>
                <w:kern w:val="2"/>
              </w:rPr>
            </w:pPr>
            <w:r>
              <w:rPr>
                <w:rFonts w:hint="eastAsia" w:cs="宋体"/>
              </w:rPr>
              <w:t>Ⅱ</w:t>
            </w:r>
          </w:p>
        </w:tc>
        <w:tc>
          <w:tcPr>
            <w:tcW w:w="1337" w:type="dxa"/>
            <w:vAlign w:val="center"/>
          </w:tcPr>
          <w:p>
            <w:pPr>
              <w:pStyle w:val="3"/>
              <w:jc w:val="center"/>
              <w:rPr>
                <w:kern w:val="2"/>
              </w:rPr>
            </w:pPr>
            <w:r>
              <w:rPr>
                <w:rFonts w:hint="eastAsia" w:cs="宋体"/>
              </w:rPr>
              <w:t>Ⅲ</w:t>
            </w:r>
          </w:p>
        </w:tc>
        <w:tc>
          <w:tcPr>
            <w:tcW w:w="1337" w:type="dxa"/>
            <w:vAlign w:val="center"/>
          </w:tcPr>
          <w:p>
            <w:pPr>
              <w:pStyle w:val="3"/>
              <w:jc w:val="center"/>
              <w:rPr>
                <w:kern w:val="2"/>
              </w:rPr>
            </w:pPr>
            <w:r>
              <w:rPr>
                <w:rFonts w:hint="eastAsia" w:cs="宋体"/>
              </w:rPr>
              <w:t>Ⅳ</w:t>
            </w:r>
          </w:p>
        </w:tc>
        <w:tc>
          <w:tcPr>
            <w:tcW w:w="1337" w:type="dxa"/>
            <w:vAlign w:val="center"/>
          </w:tcPr>
          <w:p>
            <w:pPr>
              <w:pStyle w:val="3"/>
              <w:jc w:val="center"/>
              <w:rPr>
                <w:kern w:val="2"/>
              </w:rPr>
            </w:pPr>
            <w:r>
              <w:rPr>
                <w:rFonts w:hint="eastAsia" w:cs="宋体"/>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28" w:type="dxa"/>
            <w:vAlign w:val="center"/>
          </w:tcPr>
          <w:p>
            <w:pPr>
              <w:pStyle w:val="3"/>
              <w:jc w:val="center"/>
              <w:rPr>
                <w:kern w:val="2"/>
              </w:rPr>
            </w:pPr>
            <w:r>
              <w:t>K值</w:t>
            </w:r>
          </w:p>
        </w:tc>
        <w:tc>
          <w:tcPr>
            <w:tcW w:w="1337" w:type="dxa"/>
            <w:vAlign w:val="center"/>
          </w:tcPr>
          <w:p>
            <w:pPr>
              <w:pStyle w:val="3"/>
              <w:jc w:val="center"/>
              <w:rPr>
                <w:kern w:val="2"/>
              </w:rPr>
            </w:pPr>
            <w:r>
              <w:t>0.85</w:t>
            </w:r>
          </w:p>
        </w:tc>
        <w:tc>
          <w:tcPr>
            <w:tcW w:w="1337" w:type="dxa"/>
            <w:vAlign w:val="center"/>
          </w:tcPr>
          <w:p>
            <w:pPr>
              <w:pStyle w:val="3"/>
              <w:jc w:val="center"/>
              <w:rPr>
                <w:kern w:val="2"/>
              </w:rPr>
            </w:pPr>
            <w:r>
              <w:t>0.90</w:t>
            </w:r>
          </w:p>
        </w:tc>
        <w:tc>
          <w:tcPr>
            <w:tcW w:w="1337" w:type="dxa"/>
            <w:vAlign w:val="center"/>
          </w:tcPr>
          <w:p>
            <w:pPr>
              <w:pStyle w:val="3"/>
              <w:jc w:val="center"/>
              <w:rPr>
                <w:kern w:val="2"/>
              </w:rPr>
            </w:pPr>
            <w:r>
              <w:t>1.00</w:t>
            </w:r>
          </w:p>
        </w:tc>
        <w:tc>
          <w:tcPr>
            <w:tcW w:w="1337" w:type="dxa"/>
            <w:vAlign w:val="center"/>
          </w:tcPr>
          <w:p>
            <w:pPr>
              <w:pStyle w:val="3"/>
              <w:jc w:val="center"/>
              <w:rPr>
                <w:kern w:val="2"/>
              </w:rPr>
            </w:pPr>
            <w:r>
              <w:t>1.10</w:t>
            </w:r>
          </w:p>
        </w:tc>
        <w:tc>
          <w:tcPr>
            <w:tcW w:w="1337" w:type="dxa"/>
            <w:vAlign w:val="center"/>
          </w:tcPr>
          <w:p>
            <w:pPr>
              <w:pStyle w:val="3"/>
              <w:jc w:val="center"/>
              <w:rPr>
                <w:kern w:val="2"/>
              </w:rPr>
            </w:pPr>
            <w: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28" w:type="dxa"/>
            <w:vAlign w:val="center"/>
          </w:tcPr>
          <w:p>
            <w:pPr>
              <w:pStyle w:val="3"/>
              <w:jc w:val="center"/>
              <w:rPr>
                <w:kern w:val="2"/>
              </w:rPr>
            </w:pPr>
            <w:r>
              <w:t>室外天然光设计照度值E</w:t>
            </w:r>
            <w:r>
              <w:rPr>
                <w:vertAlign w:val="subscript"/>
              </w:rPr>
              <w:t xml:space="preserve">s </w:t>
            </w:r>
            <w:r>
              <w:t>（lx）</w:t>
            </w:r>
          </w:p>
        </w:tc>
        <w:tc>
          <w:tcPr>
            <w:tcW w:w="1337" w:type="dxa"/>
            <w:vAlign w:val="center"/>
          </w:tcPr>
          <w:p>
            <w:pPr>
              <w:pStyle w:val="3"/>
              <w:jc w:val="center"/>
              <w:rPr>
                <w:kern w:val="2"/>
              </w:rPr>
            </w:pPr>
            <w:r>
              <w:t>18000</w:t>
            </w:r>
          </w:p>
        </w:tc>
        <w:tc>
          <w:tcPr>
            <w:tcW w:w="1337" w:type="dxa"/>
            <w:vAlign w:val="center"/>
          </w:tcPr>
          <w:p>
            <w:pPr>
              <w:pStyle w:val="3"/>
              <w:jc w:val="center"/>
              <w:rPr>
                <w:kern w:val="2"/>
              </w:rPr>
            </w:pPr>
            <w:r>
              <w:t>16500</w:t>
            </w:r>
          </w:p>
        </w:tc>
        <w:tc>
          <w:tcPr>
            <w:tcW w:w="1337" w:type="dxa"/>
            <w:vAlign w:val="center"/>
          </w:tcPr>
          <w:p>
            <w:pPr>
              <w:pStyle w:val="3"/>
              <w:jc w:val="center"/>
              <w:rPr>
                <w:kern w:val="2"/>
              </w:rPr>
            </w:pPr>
            <w:r>
              <w:t>15000</w:t>
            </w:r>
          </w:p>
        </w:tc>
        <w:tc>
          <w:tcPr>
            <w:tcW w:w="1337" w:type="dxa"/>
            <w:vAlign w:val="center"/>
          </w:tcPr>
          <w:p>
            <w:pPr>
              <w:pStyle w:val="3"/>
              <w:jc w:val="center"/>
              <w:rPr>
                <w:kern w:val="2"/>
              </w:rPr>
            </w:pPr>
            <w:r>
              <w:t>13500</w:t>
            </w:r>
          </w:p>
        </w:tc>
        <w:tc>
          <w:tcPr>
            <w:tcW w:w="1337" w:type="dxa"/>
            <w:vAlign w:val="center"/>
          </w:tcPr>
          <w:p>
            <w:pPr>
              <w:pStyle w:val="3"/>
              <w:jc w:val="center"/>
              <w:rPr>
                <w:kern w:val="2"/>
              </w:rPr>
            </w:pPr>
            <w:r>
              <w:t>12000</w:t>
            </w:r>
          </w:p>
        </w:tc>
      </w:tr>
    </w:tbl>
    <w:p>
      <w:pPr>
        <w:pStyle w:val="3"/>
        <w:ind w:left="210" w:leftChars="100"/>
      </w:pPr>
      <w:r>
        <w:t>4.0.</w:t>
      </w:r>
      <w:r>
        <w:rPr>
          <w:rFonts w:hint="eastAsia"/>
        </w:rPr>
        <w:t>4</w:t>
      </w:r>
      <w:r>
        <w:t xml:space="preserve">  </w:t>
      </w:r>
      <w:r>
        <w:rPr>
          <w:rFonts w:hint="eastAsia"/>
        </w:rPr>
        <w:t>教育建筑的普通教室的采光不应低于采光等级Ⅲ级的采光标准值，侧面采光的采光系数不应低于3.0%，室内天然光照度不应低于450lx。</w:t>
      </w:r>
    </w:p>
    <w:p>
      <w:pPr>
        <w:pStyle w:val="3"/>
        <w:ind w:left="210" w:leftChars="100"/>
      </w:pPr>
      <w:r>
        <w:t>4.0.</w:t>
      </w:r>
      <w:r>
        <w:rPr>
          <w:rFonts w:hint="eastAsia"/>
        </w:rPr>
        <w:t>5</w:t>
      </w:r>
      <w:r>
        <w:t xml:space="preserve">  </w:t>
      </w:r>
      <w:r>
        <w:rPr>
          <w:rFonts w:hint="eastAsia"/>
        </w:rPr>
        <w:t>教育建筑的采光标准值不应低于表4.0.5的规定。</w:t>
      </w:r>
    </w:p>
    <w:p>
      <w:pPr>
        <w:pStyle w:val="3"/>
        <w:jc w:val="center"/>
      </w:pPr>
      <w:r>
        <w:rPr>
          <w:rFonts w:hint="eastAsia"/>
        </w:rPr>
        <w:t>表</w:t>
      </w:r>
      <w:r>
        <w:t>4.0.</w:t>
      </w:r>
      <w:r>
        <w:rPr>
          <w:rFonts w:hint="eastAsia"/>
        </w:rPr>
        <w:t>5</w:t>
      </w:r>
      <w:r>
        <w:t xml:space="preserve">  </w:t>
      </w:r>
      <w:r>
        <w:rPr>
          <w:rFonts w:hint="eastAsia"/>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51"/>
        <w:gridCol w:w="2410"/>
        <w:gridCol w:w="2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36" w:type="dxa"/>
            <w:vMerge w:val="restart"/>
            <w:vAlign w:val="center"/>
          </w:tcPr>
          <w:p>
            <w:pPr>
              <w:pStyle w:val="3"/>
              <w:jc w:val="center"/>
            </w:pPr>
            <w:r>
              <w:rPr>
                <w:rFonts w:hint="eastAsia"/>
              </w:rPr>
              <w:t>采光等级</w:t>
            </w:r>
          </w:p>
        </w:tc>
        <w:tc>
          <w:tcPr>
            <w:tcW w:w="2551" w:type="dxa"/>
            <w:vMerge w:val="restart"/>
            <w:vAlign w:val="center"/>
          </w:tcPr>
          <w:p>
            <w:pPr>
              <w:pStyle w:val="3"/>
              <w:jc w:val="center"/>
            </w:pPr>
            <w:r>
              <w:rPr>
                <w:rFonts w:hint="eastAsia"/>
              </w:rPr>
              <w:t>场所名称</w:t>
            </w:r>
          </w:p>
        </w:tc>
        <w:tc>
          <w:tcPr>
            <w:tcW w:w="5387" w:type="dxa"/>
            <w:gridSpan w:val="2"/>
            <w:vAlign w:val="center"/>
          </w:tcPr>
          <w:p>
            <w:pPr>
              <w:pStyle w:val="3"/>
              <w:jc w:val="center"/>
            </w:pPr>
            <w:r>
              <w:rPr>
                <w:rFonts w:hint="eastAsia"/>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6" w:type="dxa"/>
            <w:vMerge w:val="continue"/>
            <w:vAlign w:val="center"/>
          </w:tcPr>
          <w:p>
            <w:pPr>
              <w:pStyle w:val="3"/>
              <w:jc w:val="center"/>
            </w:pPr>
          </w:p>
        </w:tc>
        <w:tc>
          <w:tcPr>
            <w:tcW w:w="2551" w:type="dxa"/>
            <w:vMerge w:val="continue"/>
            <w:vAlign w:val="center"/>
          </w:tcPr>
          <w:p>
            <w:pPr>
              <w:pStyle w:val="3"/>
              <w:jc w:val="center"/>
            </w:pPr>
          </w:p>
        </w:tc>
        <w:tc>
          <w:tcPr>
            <w:tcW w:w="2410" w:type="dxa"/>
            <w:vAlign w:val="center"/>
          </w:tcPr>
          <w:p>
            <w:pPr>
              <w:pStyle w:val="3"/>
              <w:jc w:val="center"/>
            </w:pPr>
            <w:r>
              <w:rPr>
                <w:rFonts w:hint="eastAsia"/>
              </w:rPr>
              <w:t>采光系数标准值（%）</w:t>
            </w:r>
          </w:p>
        </w:tc>
        <w:tc>
          <w:tcPr>
            <w:tcW w:w="2977" w:type="dxa"/>
            <w:vAlign w:val="center"/>
          </w:tcPr>
          <w:p>
            <w:pPr>
              <w:pStyle w:val="3"/>
              <w:jc w:val="center"/>
            </w:pPr>
            <w:r>
              <w:rPr>
                <w:rFonts w:hint="eastAsia"/>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36" w:type="dxa"/>
            <w:vAlign w:val="center"/>
          </w:tcPr>
          <w:p>
            <w:pPr>
              <w:pStyle w:val="3"/>
              <w:jc w:val="center"/>
            </w:pPr>
            <w:r>
              <w:rPr>
                <w:rFonts w:hint="eastAsia"/>
              </w:rPr>
              <w:t>Ⅲ</w:t>
            </w:r>
          </w:p>
        </w:tc>
        <w:tc>
          <w:tcPr>
            <w:tcW w:w="2551" w:type="dxa"/>
            <w:vAlign w:val="center"/>
          </w:tcPr>
          <w:p>
            <w:pPr>
              <w:pStyle w:val="3"/>
              <w:jc w:val="center"/>
            </w:pPr>
            <w:r>
              <w:rPr>
                <w:rFonts w:hint="eastAsia"/>
              </w:rPr>
              <w:t>专用教室、实验室、阶梯教室、教师办公室</w:t>
            </w:r>
          </w:p>
        </w:tc>
        <w:tc>
          <w:tcPr>
            <w:tcW w:w="2410" w:type="dxa"/>
            <w:vAlign w:val="center"/>
          </w:tcPr>
          <w:p>
            <w:pPr>
              <w:pStyle w:val="3"/>
              <w:jc w:val="center"/>
            </w:pPr>
            <w:r>
              <w:rPr>
                <w:rFonts w:hint="eastAsia"/>
              </w:rPr>
              <w:t>3.0</w:t>
            </w:r>
          </w:p>
        </w:tc>
        <w:tc>
          <w:tcPr>
            <w:tcW w:w="2977" w:type="dxa"/>
            <w:vAlign w:val="center"/>
          </w:tcPr>
          <w:p>
            <w:pPr>
              <w:pStyle w:val="3"/>
              <w:jc w:val="center"/>
            </w:pPr>
            <w:r>
              <w:rPr>
                <w:rFonts w:hint="eastAsia"/>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36" w:type="dxa"/>
            <w:vAlign w:val="center"/>
          </w:tcPr>
          <w:p>
            <w:pPr>
              <w:pStyle w:val="3"/>
              <w:jc w:val="center"/>
            </w:pPr>
            <w:r>
              <w:rPr>
                <w:rFonts w:hint="eastAsia"/>
              </w:rPr>
              <w:t>Ⅴ</w:t>
            </w:r>
          </w:p>
        </w:tc>
        <w:tc>
          <w:tcPr>
            <w:tcW w:w="2551" w:type="dxa"/>
            <w:vAlign w:val="center"/>
          </w:tcPr>
          <w:p>
            <w:pPr>
              <w:pStyle w:val="3"/>
              <w:jc w:val="center"/>
            </w:pPr>
            <w:r>
              <w:rPr>
                <w:rFonts w:hint="eastAsia"/>
              </w:rPr>
              <w:t>走道、楼梯间、卫生间</w:t>
            </w:r>
          </w:p>
        </w:tc>
        <w:tc>
          <w:tcPr>
            <w:tcW w:w="2410" w:type="dxa"/>
            <w:vAlign w:val="center"/>
          </w:tcPr>
          <w:p>
            <w:pPr>
              <w:pStyle w:val="3"/>
              <w:jc w:val="center"/>
            </w:pPr>
            <w:r>
              <w:rPr>
                <w:rFonts w:hint="eastAsia"/>
              </w:rPr>
              <w:t>1.0</w:t>
            </w:r>
          </w:p>
          <w:p>
            <w:pPr>
              <w:pStyle w:val="3"/>
              <w:jc w:val="center"/>
            </w:pPr>
          </w:p>
          <w:p>
            <w:pPr>
              <w:pStyle w:val="3"/>
              <w:jc w:val="center"/>
            </w:pPr>
          </w:p>
          <w:p>
            <w:pPr>
              <w:pStyle w:val="3"/>
              <w:jc w:val="center"/>
            </w:pPr>
          </w:p>
          <w:p>
            <w:pPr>
              <w:pStyle w:val="3"/>
              <w:jc w:val="center"/>
            </w:pPr>
          </w:p>
        </w:tc>
        <w:tc>
          <w:tcPr>
            <w:tcW w:w="2977" w:type="dxa"/>
            <w:vAlign w:val="center"/>
          </w:tcPr>
          <w:p>
            <w:pPr>
              <w:pStyle w:val="3"/>
              <w:jc w:val="center"/>
            </w:pPr>
            <w:r>
              <w:rPr>
                <w:rFonts w:hint="eastAsia"/>
              </w:rPr>
              <w:t>150</w:t>
            </w:r>
          </w:p>
        </w:tc>
      </w:tr>
    </w:tbl>
    <w:p>
      <w:pPr>
        <w:pStyle w:val="2"/>
        <w:ind w:left="432" w:hanging="432"/>
      </w:pPr>
      <w:bookmarkStart w:id="19" w:name="_Toc290149054"/>
      <w:bookmarkStart w:id="20" w:name="_Toc264569232"/>
      <w:bookmarkStart w:id="21" w:name="_Toc275165382"/>
      <w:bookmarkStart w:id="22" w:name="_Toc264043625"/>
      <w:bookmarkStart w:id="23" w:name="_Toc290209312"/>
      <w:bookmarkStart w:id="24" w:name="_Toc290209336"/>
      <w:bookmarkStart w:id="25" w:name="_Toc312399791"/>
      <w:bookmarkStart w:id="26" w:name="_Toc16406"/>
      <w:r>
        <w:rPr>
          <w:rFonts w:hint="eastAsia"/>
        </w:rPr>
        <w:t>采光分析</w:t>
      </w:r>
      <w:r>
        <w:t>概述</w:t>
      </w:r>
      <w:bookmarkEnd w:id="19"/>
      <w:bookmarkEnd w:id="20"/>
      <w:bookmarkEnd w:id="21"/>
      <w:bookmarkEnd w:id="22"/>
      <w:bookmarkEnd w:id="23"/>
      <w:bookmarkEnd w:id="24"/>
      <w:bookmarkEnd w:id="25"/>
      <w:bookmarkEnd w:id="26"/>
    </w:p>
    <w:p>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27" w:name="_Toc19442"/>
      <w:r>
        <w:rPr>
          <w:rFonts w:hint="eastAsia"/>
        </w:rPr>
        <w:t>基本原理</w:t>
      </w:r>
      <w:bookmarkEnd w:id="27"/>
    </w:p>
    <w:p>
      <w:pPr>
        <w:pStyle w:val="13"/>
        <w:spacing w:line="360" w:lineRule="auto"/>
        <w:ind w:firstLine="420"/>
        <w:rPr>
          <w:b/>
          <w:sz w:val="21"/>
          <w:szCs w:val="21"/>
        </w:rPr>
      </w:pPr>
      <w:r>
        <w:rPr>
          <w:rFonts w:hint="eastAsia"/>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28" w:name="_Toc264569237"/>
      <w:bookmarkStart w:id="29" w:name="_Toc312399796"/>
      <w:bookmarkStart w:id="30" w:name="_Toc290209341"/>
      <w:bookmarkStart w:id="31" w:name="_Toc290149059"/>
      <w:bookmarkStart w:id="32" w:name="_Toc275165387"/>
      <w:bookmarkStart w:id="33" w:name="_Toc290209317"/>
      <w:bookmarkStart w:id="34"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35" w:name="_Toc24190"/>
      <w:r>
        <w:t>分析软件</w:t>
      </w:r>
      <w:bookmarkEnd w:id="28"/>
      <w:bookmarkEnd w:id="29"/>
      <w:bookmarkEnd w:id="30"/>
      <w:bookmarkEnd w:id="31"/>
      <w:bookmarkEnd w:id="32"/>
      <w:bookmarkEnd w:id="33"/>
      <w:bookmarkEnd w:id="34"/>
      <w:bookmarkEnd w:id="35"/>
    </w:p>
    <w:p>
      <w:pPr>
        <w:pStyle w:val="13"/>
        <w:spacing w:line="360" w:lineRule="exact"/>
        <w:ind w:firstLine="420"/>
        <w:rPr>
          <w:rFonts w:ascii="微软雅黑" w:hAnsi="微软雅黑"/>
          <w:sz w:val="21"/>
          <w:szCs w:val="21"/>
        </w:rPr>
      </w:pPr>
      <w:bookmarkStart w:id="36"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pPr>
      <w:bookmarkStart w:id="37" w:name="_Toc3819"/>
      <w:r>
        <w:rPr>
          <w:rFonts w:hint="eastAsia"/>
        </w:rPr>
        <w:t>计算方法</w:t>
      </w:r>
      <w:bookmarkEnd w:id="36"/>
      <w:bookmarkEnd w:id="3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38" w:name="_Toc26149"/>
      <w:r>
        <w:rPr>
          <w:rFonts w:hint="eastAsia"/>
        </w:rPr>
        <w:t>采光计算</w:t>
      </w:r>
      <w:r>
        <w:t>参数</w:t>
      </w:r>
      <w:r>
        <w:rPr>
          <w:rFonts w:hint="eastAsia"/>
        </w:rPr>
        <w:t>取值</w:t>
      </w:r>
      <w:bookmarkEnd w:id="38"/>
    </w:p>
    <w:p>
      <w:pPr>
        <w:pStyle w:val="4"/>
      </w:pPr>
      <w:bookmarkStart w:id="39" w:name="_Toc264043629"/>
      <w:bookmarkStart w:id="40" w:name="_Toc290209340"/>
      <w:bookmarkStart w:id="41" w:name="_Toc264569236"/>
      <w:bookmarkStart w:id="42" w:name="_Toc290209316"/>
      <w:bookmarkStart w:id="43" w:name="_Toc312399795"/>
      <w:bookmarkStart w:id="44" w:name="_Toc275165386"/>
      <w:bookmarkStart w:id="45" w:name="_Toc290149058"/>
      <w:bookmarkStart w:id="46" w:name="_Toc1258"/>
      <w:r>
        <w:t>模拟</w:t>
      </w:r>
      <w:bookmarkEnd w:id="39"/>
      <w:bookmarkEnd w:id="40"/>
      <w:bookmarkEnd w:id="41"/>
      <w:bookmarkEnd w:id="42"/>
      <w:bookmarkEnd w:id="43"/>
      <w:bookmarkEnd w:id="44"/>
      <w:bookmarkEnd w:id="45"/>
      <w:r>
        <w:rPr>
          <w:rFonts w:hint="eastAsia"/>
        </w:rPr>
        <w:t>分析条件说明</w:t>
      </w:r>
      <w:bookmarkEnd w:id="4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47" w:name="光线反射次数"/>
      <w:r>
        <w:t>3</w:t>
      </w:r>
      <w:bookmarkEnd w:id="4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48" w:name="分析面高"/>
      <w:r>
        <w:rPr>
          <w:rFonts w:hint="eastAsia" w:ascii="微软雅黑" w:hAnsi="微软雅黑"/>
          <w:sz w:val="21"/>
          <w:szCs w:val="21"/>
        </w:rPr>
        <w:t>0.75</w:t>
      </w:r>
      <w:bookmarkEnd w:id="4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9" w:name="网格划分小房间面积"/>
            <w:r>
              <w:rPr>
                <w:rFonts w:hint="eastAsia"/>
                <w:szCs w:val="18"/>
              </w:rPr>
              <w:t>10</w:t>
            </w:r>
            <w:bookmarkEnd w:id="49"/>
          </w:p>
        </w:tc>
        <w:tc>
          <w:tcPr>
            <w:tcW w:w="3272" w:type="dxa"/>
            <w:shd w:val="clear" w:color="auto" w:fill="auto"/>
            <w:vAlign w:val="center"/>
          </w:tcPr>
          <w:p>
            <w:pPr>
              <w:rPr>
                <w:szCs w:val="18"/>
              </w:rPr>
            </w:pPr>
            <w:bookmarkStart w:id="50" w:name="小房间网格大小"/>
            <w:r>
              <w:rPr>
                <w:rFonts w:hint="eastAsia"/>
                <w:szCs w:val="18"/>
              </w:rPr>
              <w:t>0.25</w:t>
            </w:r>
            <w:bookmarkEnd w:id="5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51" w:name="网格划分房间面积"/>
            <w:r>
              <w:rPr>
                <w:rFonts w:hint="eastAsia"/>
                <w:szCs w:val="18"/>
              </w:rPr>
              <w:t>10~100</w:t>
            </w:r>
            <w:bookmarkEnd w:id="51"/>
          </w:p>
        </w:tc>
        <w:tc>
          <w:tcPr>
            <w:tcW w:w="3272" w:type="dxa"/>
            <w:shd w:val="clear" w:color="auto" w:fill="auto"/>
            <w:vAlign w:val="center"/>
          </w:tcPr>
          <w:p>
            <w:pPr>
              <w:rPr>
                <w:szCs w:val="18"/>
              </w:rPr>
            </w:pPr>
            <w:bookmarkStart w:id="52" w:name="网格大小"/>
            <w:r>
              <w:rPr>
                <w:rFonts w:hint="eastAsia"/>
                <w:szCs w:val="18"/>
              </w:rPr>
              <w:t>0.50</w:t>
            </w:r>
            <w:bookmarkEnd w:id="5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3" w:name="网格划分大房间面积"/>
            <w:r>
              <w:rPr>
                <w:rFonts w:hint="eastAsia"/>
                <w:szCs w:val="18"/>
              </w:rPr>
              <w:t>100</w:t>
            </w:r>
            <w:bookmarkEnd w:id="53"/>
          </w:p>
        </w:tc>
        <w:tc>
          <w:tcPr>
            <w:tcW w:w="3272" w:type="dxa"/>
            <w:shd w:val="clear" w:color="auto" w:fill="auto"/>
            <w:vAlign w:val="center"/>
          </w:tcPr>
          <w:p>
            <w:pPr>
              <w:rPr>
                <w:szCs w:val="18"/>
              </w:rPr>
            </w:pPr>
            <w:bookmarkStart w:id="54" w:name="大房间网格大小"/>
            <w:r>
              <w:rPr>
                <w:rFonts w:hint="eastAsia"/>
                <w:szCs w:val="18"/>
              </w:rPr>
              <w:t>1.00</w:t>
            </w:r>
            <w:bookmarkEnd w:id="54"/>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55" w:name="_Toc24942"/>
      <w:r>
        <w:rPr>
          <w:rFonts w:hint="eastAsia"/>
        </w:rPr>
        <w:t>建筑饰面材料参数</w:t>
      </w:r>
      <w:bookmarkEnd w:id="5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56" w:name="顶棚反射比"/>
            <w:r>
              <w:rPr>
                <w:rFonts w:hint="eastAsia"/>
                <w:szCs w:val="18"/>
              </w:rPr>
              <w:t>0.75</w:t>
            </w:r>
            <w:bookmarkEnd w:id="5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57" w:name="地面反射比"/>
            <w:r>
              <w:rPr>
                <w:rFonts w:hint="eastAsia"/>
                <w:szCs w:val="18"/>
              </w:rPr>
              <w:t>0.30</w:t>
            </w:r>
            <w:bookmarkEnd w:id="5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58" w:name="墙面反射比"/>
            <w:r>
              <w:rPr>
                <w:rFonts w:hint="eastAsia"/>
                <w:szCs w:val="18"/>
              </w:rPr>
              <w:t>0.60</w:t>
            </w:r>
            <w:bookmarkEnd w:id="58"/>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59" w:name="外表面反射比"/>
            <w:r>
              <w:rPr>
                <w:rFonts w:hint="eastAsia"/>
                <w:szCs w:val="18"/>
              </w:rPr>
              <w:t>0.50</w:t>
            </w:r>
            <w:bookmarkEnd w:id="59"/>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3"/>
        <w:rPr>
          <w:rFonts w:ascii="宋体" w:hAnsi="宋体"/>
          <w:sz w:val="18"/>
          <w:szCs w:val="18"/>
          <w:lang w:val="en-US"/>
        </w:rPr>
      </w:pPr>
      <w:bookmarkStart w:id="60" w:name="窗污染折减系数"/>
      <w:bookmarkEnd w:id="60"/>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2"/>
        <w:ind w:left="432" w:hanging="432"/>
        <w:rPr>
          <w:rFonts w:ascii="微软雅黑" w:hAnsi="微软雅黑"/>
        </w:rPr>
      </w:pPr>
      <w:bookmarkStart w:id="61" w:name="_Toc28373"/>
      <w:r>
        <w:rPr>
          <w:rFonts w:hint="eastAsia"/>
        </w:rPr>
        <w:t>房间模拟</w:t>
      </w:r>
      <w:r>
        <w:t>结果</w:t>
      </w:r>
      <w:bookmarkEnd w:id="61"/>
    </w:p>
    <w:p>
      <w:pPr>
        <w:pStyle w:val="3"/>
        <w:ind w:firstLine="420"/>
        <w:rPr>
          <w:lang w:val="en-US"/>
        </w:rPr>
      </w:pPr>
      <w:r>
        <w:rPr>
          <w:rFonts w:hint="eastAsia"/>
          <w:lang w:val="en-US"/>
        </w:rPr>
        <w:t>本项目为教育建筑</w:t>
      </w:r>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p>
    <w:p>
      <w:pPr>
        <w:pStyle w:val="3"/>
        <w:ind w:firstLine="420"/>
      </w:pPr>
      <w:r>
        <w:rPr>
          <w:rFonts w:hint="eastAsia"/>
        </w:rPr>
        <w:t xml:space="preserve"> </w:t>
      </w:r>
      <w:bookmarkStart w:id="62" w:name="房间采光表"/>
      <w:bookmarkEnd w:id="62"/>
    </w:p>
    <w:tbl>
      <w:tblPr>
        <w:tblStyle w:val="19"/>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26"/>
        <w:gridCol w:w="1068"/>
        <w:gridCol w:w="1181"/>
        <w:gridCol w:w="1030"/>
        <w:gridCol w:w="1593"/>
        <w:gridCol w:w="1216"/>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1068"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采光等级</w:t>
            </w:r>
          </w:p>
        </w:tc>
        <w:tc>
          <w:tcPr>
            <w:tcW w:w="1181"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采光类型</w:t>
            </w:r>
          </w:p>
        </w:tc>
        <w:tc>
          <w:tcPr>
            <w:tcW w:w="1030"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房间面积</w:t>
            </w:r>
          </w:p>
        </w:tc>
        <w:tc>
          <w:tcPr>
            <w:tcW w:w="1593"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采光系数C(%)</w:t>
            </w:r>
          </w:p>
        </w:tc>
        <w:tc>
          <w:tcPr>
            <w:tcW w:w="1237" w:type="dxa"/>
            <w:tcBorders>
              <w:top w:val="single" w:color="000000" w:sz="4" w:space="0"/>
              <w:left w:val="single" w:color="000000" w:sz="4" w:space="0"/>
              <w:bottom w:val="single" w:color="000000" w:sz="4" w:space="0"/>
              <w:right w:val="single" w:color="000000" w:sz="4" w:space="0"/>
            </w:tcBorders>
            <w:shd w:val="clear" w:color="auto" w:fill="DEDEDE"/>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采光系数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标准值(%)</w:t>
            </w:r>
          </w:p>
        </w:tc>
        <w:tc>
          <w:tcPr>
            <w:tcW w:w="881"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1003[办公室]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1005[办公室]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1006[办公室]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1007[办公室]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1008[走廊]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1011[多功能活动区]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1014[多功能活动区]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1015[多功能活动区]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1016[办公室]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1038[办公室]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1040[办公室]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2002[活动区]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2003[多功能活动区]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2004[多功能活动区]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2009[多功能活动区]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2010[多功能活动区]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3003[活动区]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3004[多功能活动区]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3007[多功能活动区]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3012[多功能活动区]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3013[多功能活动区]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侧面采光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r>
    </w:tbl>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2"/>
        <w:ind w:left="432" w:hanging="432"/>
      </w:pPr>
      <w:bookmarkStart w:id="63" w:name="_Toc13691"/>
      <w:r>
        <w:rPr>
          <w:rFonts w:hint="eastAsia"/>
        </w:rPr>
        <w:t>采光</w:t>
      </w:r>
      <w:r>
        <w:t>效果分析</w:t>
      </w:r>
      <w:r>
        <w:rPr>
          <w:rFonts w:hint="eastAsia"/>
        </w:rPr>
        <w:t>彩图</w:t>
      </w:r>
      <w:bookmarkEnd w:id="63"/>
    </w:p>
    <w:p>
      <w:pPr>
        <w:pStyle w:val="3"/>
        <w:ind w:firstLine="420"/>
      </w:pPr>
      <w:r>
        <w:rPr>
          <w:rFonts w:hint="eastAsia"/>
          <w:lang w:val="en-US"/>
        </w:rPr>
        <w:t>采光系数分析彩图可以直观地反应建筑内各个房间的采光效果，本项目中各楼层中标准要求房间的室内采光情况如下所示：</w:t>
      </w:r>
      <w:bookmarkStart w:id="64" w:name="彩图"/>
      <w:bookmarkEnd w:id="64"/>
    </w:p>
    <w:p>
      <w:pPr>
        <w:pStyle w:val="3"/>
        <w:jc w:val="center"/>
        <w:rPr>
          <w:rFonts w:hint="eastAsia" w:ascii="宋体" w:hAnsi="宋体" w:eastAsia="微软雅黑"/>
          <w:sz w:val="18"/>
          <w:szCs w:val="18"/>
          <w:lang w:val="en-US" w:eastAsia="zh-CN"/>
        </w:rPr>
      </w:pPr>
      <w:r>
        <w:rPr>
          <w:rFonts w:hint="eastAsia" w:ascii="宋体" w:hAnsi="宋体" w:eastAsia="微软雅黑"/>
          <w:sz w:val="18"/>
          <w:szCs w:val="18"/>
          <w:lang w:val="en-US" w:eastAsia="zh-CN"/>
        </w:rPr>
        <w:drawing>
          <wp:inline distT="0" distB="0" distL="114300" distR="114300">
            <wp:extent cx="5753100" cy="2646680"/>
            <wp:effectExtent l="0" t="0" r="0" b="1270"/>
            <wp:docPr id="7" name="图片 7" descr="采光模型12.15-1层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采光模型12.15-1层彩图"/>
                    <pic:cNvPicPr>
                      <a:picLocks noChangeAspect="1"/>
                    </pic:cNvPicPr>
                  </pic:nvPicPr>
                  <pic:blipFill>
                    <a:blip r:embed="rId9"/>
                    <a:stretch>
                      <a:fillRect/>
                    </a:stretch>
                  </pic:blipFill>
                  <pic:spPr>
                    <a:xfrm>
                      <a:off x="0" y="0"/>
                      <a:ext cx="5753100" cy="2646680"/>
                    </a:xfrm>
                    <a:prstGeom prst="rect">
                      <a:avLst/>
                    </a:prstGeom>
                  </pic:spPr>
                </pic:pic>
              </a:graphicData>
            </a:graphic>
          </wp:inline>
        </w:drawing>
      </w:r>
    </w:p>
    <w:p>
      <w:pPr>
        <w:pStyle w:val="3"/>
        <w:jc w:val="center"/>
        <w:rPr>
          <w:rFonts w:hint="eastAsia" w:ascii="宋体" w:hAnsi="宋体" w:eastAsia="微软雅黑"/>
          <w:sz w:val="18"/>
          <w:szCs w:val="18"/>
          <w:lang w:val="en-US" w:eastAsia="zh-CN"/>
        </w:rPr>
      </w:pPr>
      <w:r>
        <w:rPr>
          <w:rFonts w:hint="eastAsia" w:ascii="宋体" w:hAnsi="宋体" w:eastAsia="微软雅黑"/>
          <w:sz w:val="18"/>
          <w:szCs w:val="18"/>
          <w:lang w:val="en-US" w:eastAsia="zh-CN"/>
        </w:rPr>
        <w:drawing>
          <wp:inline distT="0" distB="0" distL="114300" distR="114300">
            <wp:extent cx="5753100" cy="2524125"/>
            <wp:effectExtent l="0" t="0" r="0" b="9525"/>
            <wp:docPr id="6" name="图片 6" descr="采光模型12.15-2层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采光模型12.15-2层彩图"/>
                    <pic:cNvPicPr>
                      <a:picLocks noChangeAspect="1"/>
                    </pic:cNvPicPr>
                  </pic:nvPicPr>
                  <pic:blipFill>
                    <a:blip r:embed="rId10"/>
                    <a:stretch>
                      <a:fillRect/>
                    </a:stretch>
                  </pic:blipFill>
                  <pic:spPr>
                    <a:xfrm>
                      <a:off x="0" y="0"/>
                      <a:ext cx="5753100" cy="2524125"/>
                    </a:xfrm>
                    <a:prstGeom prst="rect">
                      <a:avLst/>
                    </a:prstGeom>
                  </pic:spPr>
                </pic:pic>
              </a:graphicData>
            </a:graphic>
          </wp:inline>
        </w:drawing>
      </w:r>
    </w:p>
    <w:p>
      <w:pPr>
        <w:pStyle w:val="3"/>
        <w:jc w:val="center"/>
        <w:rPr>
          <w:rFonts w:hint="eastAsia" w:ascii="宋体" w:hAnsi="宋体" w:eastAsia="微软雅黑"/>
          <w:sz w:val="18"/>
          <w:szCs w:val="18"/>
          <w:lang w:val="en-US" w:eastAsia="zh-CN"/>
        </w:rPr>
      </w:pPr>
    </w:p>
    <w:p>
      <w:pPr>
        <w:pStyle w:val="3"/>
        <w:jc w:val="center"/>
        <w:rPr>
          <w:rFonts w:hint="eastAsia" w:ascii="宋体" w:hAnsi="宋体" w:eastAsia="微软雅黑"/>
          <w:sz w:val="18"/>
          <w:szCs w:val="18"/>
          <w:lang w:val="en-US" w:eastAsia="zh-CN"/>
        </w:rPr>
      </w:pPr>
      <w:r>
        <w:rPr>
          <w:rFonts w:hint="eastAsia" w:ascii="宋体" w:hAnsi="宋体" w:eastAsia="微软雅黑"/>
          <w:sz w:val="18"/>
          <w:szCs w:val="18"/>
          <w:lang w:val="en-US" w:eastAsia="zh-CN"/>
        </w:rPr>
        <w:drawing>
          <wp:inline distT="0" distB="0" distL="114300" distR="114300">
            <wp:extent cx="5753100" cy="2524125"/>
            <wp:effectExtent l="0" t="0" r="0" b="9525"/>
            <wp:docPr id="5" name="图片 5" descr="采光模型12.15-3层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采光模型12.15-3层彩图"/>
                    <pic:cNvPicPr>
                      <a:picLocks noChangeAspect="1"/>
                    </pic:cNvPicPr>
                  </pic:nvPicPr>
                  <pic:blipFill>
                    <a:blip r:embed="rId11"/>
                    <a:stretch>
                      <a:fillRect/>
                    </a:stretch>
                  </pic:blipFill>
                  <pic:spPr>
                    <a:xfrm>
                      <a:off x="0" y="0"/>
                      <a:ext cx="5753100" cy="2524125"/>
                    </a:xfrm>
                    <a:prstGeom prst="rect">
                      <a:avLst/>
                    </a:prstGeom>
                  </pic:spPr>
                </pic:pic>
              </a:graphicData>
            </a:graphic>
          </wp:inline>
        </w:drawing>
      </w:r>
    </w:p>
    <w:p>
      <w:pPr>
        <w:pStyle w:val="3"/>
        <w:jc w:val="both"/>
        <w:rPr>
          <w:rFonts w:ascii="宋体" w:hAnsi="宋体"/>
          <w:sz w:val="18"/>
          <w:szCs w:val="18"/>
          <w:lang w:val="en-US"/>
        </w:rPr>
      </w:pPr>
    </w:p>
    <w:p>
      <w:pPr>
        <w:pStyle w:val="2"/>
        <w:ind w:left="432" w:hanging="432"/>
      </w:pPr>
      <w:bookmarkStart w:id="65" w:name="_Toc19949"/>
      <w:r>
        <w:rPr>
          <w:rFonts w:hint="eastAsia"/>
        </w:rPr>
        <w:t>结论</w:t>
      </w:r>
      <w:bookmarkEnd w:id="65"/>
    </w:p>
    <w:p>
      <w:pPr>
        <w:pStyle w:val="3"/>
        <w:ind w:firstLine="420"/>
      </w:pPr>
      <w:r>
        <w:rPr>
          <w:rFonts w:hint="eastAsia"/>
          <w:lang w:val="en-US"/>
        </w:rPr>
        <w:t xml:space="preserve">通过对本建筑的采光模拟和统计分析，根据满足《建筑采光设计标准》 </w:t>
      </w:r>
      <w:r>
        <w:rPr>
          <w:lang w:val="en-US"/>
        </w:rPr>
        <w:t>GB 50033-2013</w:t>
      </w:r>
      <w:r>
        <w:rPr>
          <w:rFonts w:hint="eastAsia"/>
          <w:lang w:val="en-US"/>
        </w:rPr>
        <w:t>要求的房间</w:t>
      </w:r>
      <w:r>
        <w:rPr>
          <w:lang w:val="en-US"/>
        </w:rPr>
        <w:t>/</w:t>
      </w:r>
      <w:r>
        <w:rPr>
          <w:rFonts w:hint="eastAsia"/>
          <w:lang w:val="en-US"/>
        </w:rPr>
        <w:t>户型情况汇总如下：</w:t>
      </w:r>
      <w:bookmarkStart w:id="66" w:name="综述"/>
      <w:bookmarkEnd w:id="66"/>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pPr>
              <w:rPr>
                <w:rFonts w:hint="default" w:eastAsia="微软雅黑"/>
                <w:lang w:val="en-US" w:eastAsia="zh-CN"/>
              </w:rPr>
            </w:pPr>
            <w:r>
              <w:rPr>
                <w:rFonts w:hint="eastAsia"/>
                <w:lang w:val="en-US" w:eastAsia="zh-CN"/>
              </w:rPr>
              <w:t>21</w:t>
            </w:r>
          </w:p>
        </w:tc>
        <w:tc>
          <w:tcPr>
            <w:vAlign w:val="center"/>
          </w:tcPr>
          <w:p>
            <w:pPr>
              <w:rPr>
                <w:rFonts w:hint="default" w:eastAsia="微软雅黑"/>
                <w:lang w:val="en-US" w:eastAsia="zh-CN"/>
              </w:rPr>
            </w:pPr>
            <w:r>
              <w:rPr>
                <w:rFonts w:hint="eastAsia"/>
                <w:lang w:val="en-US" w:eastAsia="zh-CN"/>
              </w:rPr>
              <w:t>21</w:t>
            </w:r>
          </w:p>
        </w:tc>
        <w:tc>
          <w:tcPr>
            <w:vAlign w:val="center"/>
          </w:tcPr>
          <w:p>
            <w:pPr>
              <w:rPr>
                <w:rFonts w:hint="default" w:eastAsia="微软雅黑"/>
                <w:lang w:val="en-US" w:eastAsia="zh-CN"/>
              </w:rPr>
            </w:pPr>
            <w:r>
              <w:rPr>
                <w:rFonts w:hint="eastAsia"/>
                <w:lang w:val="en-US" w:eastAsia="zh-CN"/>
              </w:rPr>
              <w:t>100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rPr>
                <w:rFonts w:hint="eastAsia"/>
                <w:lang w:val="en-US" w:eastAsia="zh-CN"/>
              </w:rPr>
              <w:t>2652</w:t>
            </w:r>
            <w:r>
              <w:t>.26</w:t>
            </w:r>
          </w:p>
        </w:tc>
        <w:tc>
          <w:tcPr>
            <w:vAlign w:val="center"/>
          </w:tcPr>
          <w:p>
            <w:pPr>
              <w:rPr>
                <w:rFonts w:hint="default" w:eastAsia="微软雅黑"/>
                <w:lang w:val="en-US" w:eastAsia="zh-CN"/>
              </w:rPr>
            </w:pPr>
            <w:r>
              <w:rPr>
                <w:rFonts w:hint="eastAsia"/>
                <w:lang w:val="en-US" w:eastAsia="zh-CN"/>
              </w:rPr>
              <w:t>2652.26</w:t>
            </w:r>
          </w:p>
        </w:tc>
        <w:tc>
          <w:tcPr>
            <w:vAlign w:val="center"/>
          </w:tcPr>
          <w:p>
            <w:pPr>
              <w:rPr>
                <w:rFonts w:hint="default" w:eastAsia="微软雅黑"/>
                <w:lang w:val="en-US" w:eastAsia="zh-CN"/>
              </w:rPr>
            </w:pPr>
            <w:r>
              <w:rPr>
                <w:rFonts w:hint="eastAsia"/>
                <w:lang w:val="en-US" w:eastAsia="zh-CN"/>
              </w:rPr>
              <w:t>100</w:t>
            </w:r>
          </w:p>
        </w:tc>
        <w:tc>
          <w:tcPr>
            <w:vAlign w:val="center"/>
          </w:tcPr>
          <w:p>
            <w:pPr>
              <w:jc w:val="center"/>
            </w:pPr>
            <w:r>
              <w:t>－－</w:t>
            </w:r>
          </w:p>
        </w:tc>
        <w:tc>
          <w:tcPr>
            <w:vAlign w:val="center"/>
          </w:tcPr>
          <w:p>
            <w:pPr>
              <w:jc w:val="center"/>
            </w:pPr>
            <w:r>
              <w:t>－－</w:t>
            </w:r>
          </w:p>
        </w:tc>
      </w:tr>
    </w:tbl>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jc w:val="both"/>
      </w:pPr>
      <w:bookmarkStart w:id="67" w:name="总平面图"/>
      <w:bookmarkEnd w:id="67"/>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eastAsia="微软雅黑"/>
        <w:lang w:val="en-US" w:eastAsia="zh-CN"/>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Dali202</w:t>
    </w:r>
    <w:r>
      <w:rPr>
        <w:rFonts w:hint="eastAsia"/>
        <w:lang w:val="en-US" w:eastAsia="zh-CN"/>
      </w:rPr>
      <w:t>2</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2529"/>
        </w:tabs>
        <w:ind w:left="-2529" w:hanging="360"/>
      </w:pPr>
    </w:lvl>
    <w:lvl w:ilvl="2" w:tentative="0">
      <w:start w:val="1"/>
      <w:numFmt w:val="decimal"/>
      <w:lvlText w:val="%3."/>
      <w:lvlJc w:val="left"/>
      <w:pPr>
        <w:tabs>
          <w:tab w:val="left" w:pos="-1809"/>
        </w:tabs>
        <w:ind w:left="-1809" w:hanging="360"/>
      </w:pPr>
    </w:lvl>
    <w:lvl w:ilvl="3" w:tentative="0">
      <w:start w:val="1"/>
      <w:numFmt w:val="decimal"/>
      <w:lvlText w:val="%4."/>
      <w:lvlJc w:val="left"/>
      <w:pPr>
        <w:tabs>
          <w:tab w:val="left" w:pos="-1089"/>
        </w:tabs>
        <w:ind w:left="-1089" w:hanging="360"/>
      </w:pPr>
    </w:lvl>
    <w:lvl w:ilvl="4" w:tentative="0">
      <w:start w:val="1"/>
      <w:numFmt w:val="decimal"/>
      <w:lvlText w:val="%5."/>
      <w:lvlJc w:val="left"/>
      <w:pPr>
        <w:tabs>
          <w:tab w:val="left" w:pos="-369"/>
        </w:tabs>
        <w:ind w:left="-369" w:hanging="360"/>
      </w:pPr>
    </w:lvl>
    <w:lvl w:ilvl="5" w:tentative="0">
      <w:start w:val="1"/>
      <w:numFmt w:val="decimal"/>
      <w:lvlText w:val="%6."/>
      <w:lvlJc w:val="left"/>
      <w:pPr>
        <w:tabs>
          <w:tab w:val="left" w:pos="351"/>
        </w:tabs>
        <w:ind w:left="351" w:hanging="360"/>
      </w:pPr>
    </w:lvl>
    <w:lvl w:ilvl="6" w:tentative="0">
      <w:start w:val="1"/>
      <w:numFmt w:val="decimal"/>
      <w:lvlText w:val="%7."/>
      <w:lvlJc w:val="left"/>
      <w:pPr>
        <w:tabs>
          <w:tab w:val="left" w:pos="1071"/>
        </w:tabs>
        <w:ind w:left="1071" w:hanging="360"/>
      </w:pPr>
    </w:lvl>
    <w:lvl w:ilvl="7" w:tentative="0">
      <w:start w:val="1"/>
      <w:numFmt w:val="decimal"/>
      <w:lvlText w:val="%8."/>
      <w:lvlJc w:val="left"/>
      <w:pPr>
        <w:tabs>
          <w:tab w:val="left" w:pos="1791"/>
        </w:tabs>
        <w:ind w:left="1791" w:hanging="360"/>
      </w:pPr>
    </w:lvl>
    <w:lvl w:ilvl="8" w:tentative="0">
      <w:start w:val="1"/>
      <w:numFmt w:val="decimal"/>
      <w:lvlText w:val="%9."/>
      <w:lvlJc w:val="left"/>
      <w:pPr>
        <w:tabs>
          <w:tab w:val="left" w:pos="2511"/>
        </w:tabs>
        <w:ind w:left="2511"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ZWI4MTQ5OWNkZDdlOThkYWUwYmUwMTVjYWE3NmUifQ=="/>
  </w:docVars>
  <w:rsids>
    <w:rsidRoot w:val="0E982BCC"/>
    <w:rsid w:val="0000161E"/>
    <w:rsid w:val="00003F3F"/>
    <w:rsid w:val="00026821"/>
    <w:rsid w:val="00037A4C"/>
    <w:rsid w:val="000574BA"/>
    <w:rsid w:val="000631B3"/>
    <w:rsid w:val="00073D32"/>
    <w:rsid w:val="00075C7F"/>
    <w:rsid w:val="000819B3"/>
    <w:rsid w:val="00083664"/>
    <w:rsid w:val="000926EC"/>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7C19"/>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F181A"/>
    <w:rsid w:val="005215FB"/>
    <w:rsid w:val="005274CD"/>
    <w:rsid w:val="00532699"/>
    <w:rsid w:val="005421A7"/>
    <w:rsid w:val="0054315A"/>
    <w:rsid w:val="00553946"/>
    <w:rsid w:val="00555634"/>
    <w:rsid w:val="00555EF2"/>
    <w:rsid w:val="00556235"/>
    <w:rsid w:val="00560CD5"/>
    <w:rsid w:val="00562402"/>
    <w:rsid w:val="00573CF6"/>
    <w:rsid w:val="0057477E"/>
    <w:rsid w:val="005755BA"/>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544F4"/>
    <w:rsid w:val="00654656"/>
    <w:rsid w:val="00665923"/>
    <w:rsid w:val="006663F1"/>
    <w:rsid w:val="00680AB5"/>
    <w:rsid w:val="00694FCA"/>
    <w:rsid w:val="006A10D8"/>
    <w:rsid w:val="006A4CE8"/>
    <w:rsid w:val="006B01BC"/>
    <w:rsid w:val="006B4299"/>
    <w:rsid w:val="006B628D"/>
    <w:rsid w:val="006C2054"/>
    <w:rsid w:val="006C6715"/>
    <w:rsid w:val="006E146F"/>
    <w:rsid w:val="006F480A"/>
    <w:rsid w:val="00703669"/>
    <w:rsid w:val="00704059"/>
    <w:rsid w:val="007053C9"/>
    <w:rsid w:val="00720044"/>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761F"/>
    <w:rsid w:val="00A32590"/>
    <w:rsid w:val="00A355BD"/>
    <w:rsid w:val="00A47443"/>
    <w:rsid w:val="00A905FE"/>
    <w:rsid w:val="00A90BB1"/>
    <w:rsid w:val="00A95E06"/>
    <w:rsid w:val="00A96DD2"/>
    <w:rsid w:val="00A972F1"/>
    <w:rsid w:val="00AA1CD6"/>
    <w:rsid w:val="00AA22F6"/>
    <w:rsid w:val="00AA47FE"/>
    <w:rsid w:val="00AA686F"/>
    <w:rsid w:val="00AC45CC"/>
    <w:rsid w:val="00AD0888"/>
    <w:rsid w:val="00AD149F"/>
    <w:rsid w:val="00AD2D17"/>
    <w:rsid w:val="00AF050E"/>
    <w:rsid w:val="00B364B6"/>
    <w:rsid w:val="00B41640"/>
    <w:rsid w:val="00B55B22"/>
    <w:rsid w:val="00B60841"/>
    <w:rsid w:val="00B77743"/>
    <w:rsid w:val="00BA17E2"/>
    <w:rsid w:val="00BB3B23"/>
    <w:rsid w:val="00BF257E"/>
    <w:rsid w:val="00C257AB"/>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470C"/>
    <w:rsid w:val="00E0259B"/>
    <w:rsid w:val="00E12326"/>
    <w:rsid w:val="00E125AE"/>
    <w:rsid w:val="00E12AD1"/>
    <w:rsid w:val="00E24BFA"/>
    <w:rsid w:val="00E25349"/>
    <w:rsid w:val="00E25E8C"/>
    <w:rsid w:val="00E4407F"/>
    <w:rsid w:val="00E47E06"/>
    <w:rsid w:val="00E70768"/>
    <w:rsid w:val="00E74F22"/>
    <w:rsid w:val="00E81ACD"/>
    <w:rsid w:val="00E81C02"/>
    <w:rsid w:val="00E950A3"/>
    <w:rsid w:val="00EB450B"/>
    <w:rsid w:val="00EB65C7"/>
    <w:rsid w:val="00EE0F57"/>
    <w:rsid w:val="00EF2A35"/>
    <w:rsid w:val="00F01840"/>
    <w:rsid w:val="00F0686F"/>
    <w:rsid w:val="00F26211"/>
    <w:rsid w:val="00F308B6"/>
    <w:rsid w:val="00F32066"/>
    <w:rsid w:val="00F51600"/>
    <w:rsid w:val="00F54FBC"/>
    <w:rsid w:val="00F642A6"/>
    <w:rsid w:val="00F64596"/>
    <w:rsid w:val="00F75DD1"/>
    <w:rsid w:val="00F7631E"/>
    <w:rsid w:val="00F8504B"/>
    <w:rsid w:val="00F959AF"/>
    <w:rsid w:val="00F972A6"/>
    <w:rsid w:val="00FA4B87"/>
    <w:rsid w:val="00FB0816"/>
    <w:rsid w:val="00FF14DB"/>
    <w:rsid w:val="00FF2243"/>
    <w:rsid w:val="00FF752E"/>
    <w:rsid w:val="0E982BCC"/>
    <w:rsid w:val="451F469D"/>
    <w:rsid w:val="60E07F23"/>
    <w:rsid w:val="67CC3A9D"/>
    <w:rsid w:val="79C718DC"/>
    <w:rsid w:val="7B9B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3AA7-7EF7-4F1F-ADEB-3405AEC32E68}">
  <ds:schemaRefs/>
</ds:datastoreItem>
</file>

<file path=docProps/app.xml><?xml version="1.0" encoding="utf-8"?>
<Properties xmlns="http://schemas.openxmlformats.org/officeDocument/2006/extended-properties" xmlns:vt="http://schemas.openxmlformats.org/officeDocument/2006/docPropsVTypes">
  <Template>tmp2.dotx</Template>
  <Pages>10</Pages>
  <Words>2879</Words>
  <Characters>3566</Characters>
  <Lines>34</Lines>
  <Paragraphs>9</Paragraphs>
  <TotalTime>2</TotalTime>
  <ScaleCrop>false</ScaleCrop>
  <LinksUpToDate>false</LinksUpToDate>
  <CharactersWithSpaces>3720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2021-12-31T10:24:00Z</dcterms:created>
  <dc:creator>Administrator</dc:creator>
  <cp:lastModifiedBy>呂慧潔</cp:lastModifiedBy>
  <dcterms:modified xsi:type="dcterms:W3CDTF">2023-01-01T08:19:39Z</dcterms:modified>
  <dc:title>建筑采光分析报告书</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4EF45E9224D74E9F87D647FE06516139</vt:lpwstr>
  </property>
</Properties>
</file>