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建筑碳排放分析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pStyle w:val="19"/>
        <w:rPr>
          <w:lang w:val="en-US"/>
        </w:rPr>
      </w:pPr>
      <w:r>
        <w:rPr>
          <w:rFonts w:hint="eastAsia"/>
          <w:lang w:val="en-US"/>
        </w:rPr>
        <w:t>（评价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0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5017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拾光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5017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0" w:name="地理位置"/>
            <w:r>
              <w:t>沈阳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作品</w:t>
            </w: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5017" w:type="dxa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1" w:name="设计编号"/>
            <w:bookmarkEnd w:id="1"/>
            <w:r>
              <w:rPr>
                <w:rFonts w:hint="eastAsia" w:ascii="宋体" w:hAnsi="宋体"/>
                <w:szCs w:val="21"/>
              </w:rPr>
              <w:t>BK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A50208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5017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2" w:name="报告日期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2022.12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rPr>
          <w:rFonts w:ascii="宋体" w:hAnsi="宋体"/>
          <w:lang w:val="en-US"/>
        </w:rPr>
      </w:pPr>
      <w:bookmarkStart w:id="3" w:name="二维码"/>
      <w:bookmarkEnd w:id="3"/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p>
      <w:pPr>
        <w:spacing w:line="1000" w:lineRule="exact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4" w:name="目录"/>
      <w:bookmarkEnd w:id="4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1 </w:t>
      </w:r>
      <w:r>
        <w:rPr>
          <w:rFonts w:hint="eastAsia"/>
          <w:lang w:val="en-US" w:eastAsia="zh-CN"/>
        </w:rPr>
        <w:t>建筑</w:t>
      </w:r>
      <w:r>
        <w:rPr>
          <w:rFonts w:hint="eastAsia"/>
        </w:rPr>
        <w:t>概况</w:t>
      </w:r>
      <w:r>
        <w:tab/>
      </w:r>
      <w:r>
        <w:fldChar w:fldCharType="begin"/>
      </w:r>
      <w:r>
        <w:instrText xml:space="preserve"> PAGEREF _Toc17489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_Toc28800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_Toc28800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_Toc17759 </w:instrText>
      </w:r>
      <w:r>
        <w:fldChar w:fldCharType="separate"/>
      </w:r>
      <w:r>
        <w:rPr>
          <w:rFonts w:hint="eastAsia"/>
        </w:rPr>
        <w:t xml:space="preserve">3 </w:t>
      </w:r>
      <w:r>
        <w:rPr>
          <w:rFonts w:hint="eastAsia"/>
          <w:lang w:val="en-US" w:eastAsia="zh-CN"/>
        </w:rPr>
        <w:t>原始建筑计算结果</w:t>
      </w:r>
      <w:r>
        <w:tab/>
      </w:r>
      <w:r>
        <w:fldChar w:fldCharType="begin"/>
      </w:r>
      <w:r>
        <w:instrText xml:space="preserve"> PAGEREF _Toc17759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_Toc9199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  <w:lang w:val="en-US" w:eastAsia="zh-CN"/>
        </w:rPr>
        <w:t>建材生产运输碳排放计算</w:t>
      </w:r>
      <w:r>
        <w:tab/>
      </w:r>
      <w:r>
        <w:fldChar w:fldCharType="begin"/>
      </w:r>
      <w:r>
        <w:instrText xml:space="preserve"> PAGEREF _Toc9199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_Toc29554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  <w:lang w:val="en-US" w:eastAsia="zh-CN"/>
        </w:rPr>
        <w:t>建筑建造拆除碳排放计算</w:t>
      </w:r>
      <w:r>
        <w:tab/>
      </w:r>
      <w:r>
        <w:fldChar w:fldCharType="begin"/>
      </w:r>
      <w:r>
        <w:instrText xml:space="preserve"> PAGEREF _Toc29554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_Toc17954 </w:instrText>
      </w:r>
      <w:r>
        <w:fldChar w:fldCharType="separate"/>
      </w:r>
      <w:r>
        <w:rPr>
          <w:rFonts w:hint="eastAsia"/>
          <w:lang w:val="en-GB" w:eastAsia="zh-CN"/>
        </w:rPr>
        <w:t xml:space="preserve">3.3 </w:t>
      </w:r>
      <w:r>
        <w:rPr>
          <w:rFonts w:hint="eastAsia"/>
          <w:lang w:val="en-US" w:eastAsia="zh-CN"/>
        </w:rPr>
        <w:t>碳汇计算</w:t>
      </w:r>
      <w:r>
        <w:tab/>
      </w:r>
      <w:r>
        <w:fldChar w:fldCharType="begin"/>
      </w:r>
      <w:r>
        <w:instrText xml:space="preserve"> PAGEREF _Toc17954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_Toc15133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  <w:lang w:val="en-US" w:eastAsia="zh-CN"/>
        </w:rPr>
        <w:t>建筑运行碳排放计算</w:t>
      </w:r>
      <w:r>
        <w:tab/>
      </w:r>
      <w:r>
        <w:fldChar w:fldCharType="begin"/>
      </w:r>
      <w:r>
        <w:instrText xml:space="preserve"> PAGEREF _Toc15133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_Toc16316 </w:instrText>
      </w:r>
      <w:r>
        <w:fldChar w:fldCharType="separate"/>
      </w:r>
      <w:r>
        <w:rPr>
          <w:rFonts w:hint="eastAsia"/>
          <w:bCs/>
          <w:lang w:val="en-GB" w:eastAsia="zh-CN"/>
        </w:rPr>
        <w:t xml:space="preserve">3.5 </w:t>
      </w:r>
      <w:r>
        <w:rPr>
          <w:rFonts w:hint="eastAsia"/>
          <w:lang w:val="en-US" w:eastAsia="zh-CN"/>
        </w:rPr>
        <w:t>全生命周期碳排放汇总</w:t>
      </w:r>
      <w:r>
        <w:tab/>
      </w:r>
      <w:r>
        <w:fldChar w:fldCharType="begin"/>
      </w:r>
      <w:r>
        <w:instrText xml:space="preserve"> PAGEREF _Toc16316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_Toc18209 </w:instrText>
      </w:r>
      <w:r>
        <w:fldChar w:fldCharType="separate"/>
      </w:r>
      <w:r>
        <w:rPr>
          <w:rFonts w:hint="eastAsia"/>
          <w:lang w:val="en-US" w:eastAsia="zh-CN"/>
        </w:rPr>
        <w:t>4 改造后碳排放计算结果</w:t>
      </w:r>
      <w:r>
        <w:tab/>
      </w:r>
      <w:r>
        <w:fldChar w:fldCharType="begin"/>
      </w:r>
      <w:r>
        <w:instrText xml:space="preserve"> PAGEREF _Toc18209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_Toc29018 </w:instrText>
      </w:r>
      <w:r>
        <w:fldChar w:fldCharType="separate"/>
      </w:r>
      <w:r>
        <w:rPr>
          <w:rFonts w:hint="eastAsia"/>
          <w:lang w:val="en-GB" w:eastAsia="zh-CN"/>
        </w:rPr>
        <w:t xml:space="preserve">4.1 </w:t>
      </w:r>
      <w:r>
        <w:rPr>
          <w:rFonts w:hint="eastAsia"/>
          <w:lang w:val="en-US" w:eastAsia="zh-CN"/>
        </w:rPr>
        <w:t>碳汇计算</w:t>
      </w:r>
      <w:r>
        <w:tab/>
      </w:r>
      <w:r>
        <w:fldChar w:fldCharType="begin"/>
      </w:r>
      <w:r>
        <w:instrText xml:space="preserve"> PAGEREF _Toc29018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_Toc28900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  <w:lang w:val="en-US" w:eastAsia="zh-CN"/>
        </w:rPr>
        <w:t>建筑运行碳排放计算</w:t>
      </w:r>
      <w:r>
        <w:tab/>
      </w:r>
      <w:r>
        <w:fldChar w:fldCharType="begin"/>
      </w:r>
      <w:r>
        <w:instrText xml:space="preserve"> PAGEREF _Toc28900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_Toc31063 </w:instrText>
      </w:r>
      <w:r>
        <w:fldChar w:fldCharType="separate"/>
      </w:r>
      <w:r>
        <w:rPr>
          <w:rFonts w:hint="eastAsia"/>
          <w:bCs/>
          <w:lang w:val="en-GB" w:eastAsia="zh-CN"/>
        </w:rPr>
        <w:t xml:space="preserve">4.3 </w:t>
      </w:r>
      <w:r>
        <w:rPr>
          <w:rFonts w:hint="eastAsia"/>
          <w:lang w:val="en-US" w:eastAsia="zh-CN"/>
        </w:rPr>
        <w:t>全生命周期碳排放汇总</w:t>
      </w:r>
      <w:r>
        <w:tab/>
      </w:r>
      <w:r>
        <w:fldChar w:fldCharType="begin"/>
      </w:r>
      <w:r>
        <w:instrText xml:space="preserve"> PAGEREF _Toc31063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_Toc1464 </w:instrText>
      </w:r>
      <w:r>
        <w:fldChar w:fldCharType="separate"/>
      </w:r>
      <w:r>
        <w:rPr>
          <w:rFonts w:hint="eastAsia"/>
        </w:rPr>
        <w:t>5 结论</w:t>
      </w:r>
      <w:r>
        <w:tab/>
      </w:r>
      <w:r>
        <w:fldChar w:fldCharType="begin"/>
      </w:r>
      <w:r>
        <w:instrText xml:space="preserve"> PAGEREF _Toc1464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  <w:bookmarkStart w:id="30" w:name="_GoBack"/>
      <w:bookmarkEnd w:id="30"/>
    </w:p>
    <w:p>
      <w:pPr>
        <w:pStyle w:val="2"/>
      </w:pPr>
      <w:bookmarkStart w:id="5" w:name="_Toc17489"/>
      <w:r>
        <w:rPr>
          <w:rFonts w:hint="eastAsia"/>
          <w:lang w:val="en-US" w:eastAsia="zh-CN"/>
        </w:rPr>
        <w:t>建筑</w:t>
      </w:r>
      <w:r>
        <w:rPr>
          <w:rFonts w:hint="eastAsia"/>
        </w:rPr>
        <w:t>概况</w:t>
      </w:r>
      <w:bookmarkEnd w:id="5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拾光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6" w:name="工程地点"/>
            <w:r>
              <w:t>沈阳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7" w:name="纬度"/>
            <w:r>
              <w:t>41.80</w:t>
            </w:r>
            <w:bookmarkEnd w:id="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8" w:name="经度"/>
            <w:r>
              <w:t>123.42</w:t>
            </w:r>
            <w:bookmarkEnd w:id="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</w:t>
            </w:r>
            <w:r>
              <w:rPr>
                <w:rFonts w:hint="eastAsia" w:ascii="宋体" w:hAnsi="宋体"/>
                <w:lang w:val="en-US" w:eastAsia="zh-CN"/>
              </w:rPr>
              <w:t>分</w:t>
            </w:r>
            <w:r>
              <w:rPr>
                <w:rFonts w:hint="eastAsia" w:ascii="宋体" w:hAnsi="宋体"/>
                <w:lang w:val="en-US"/>
              </w:rPr>
              <w:t>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严寒C区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建筑面积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3200m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</w:p>
        </w:tc>
      </w:tr>
    </w:tbl>
    <w:p>
      <w:pPr>
        <w:pStyle w:val="3"/>
        <w:ind w:left="0" w:leftChars="0" w:firstLine="0" w:firstLineChars="0"/>
        <w:jc w:val="both"/>
        <w:rPr>
          <w:rFonts w:hint="eastAsia" w:eastAsia="宋体"/>
          <w:lang w:val="en-US" w:eastAsia="zh-CN"/>
        </w:rPr>
      </w:pPr>
      <w:bookmarkStart w:id="9" w:name="总图鸟瞰图"/>
      <w:bookmarkEnd w:id="9"/>
    </w:p>
    <w:p>
      <w:pPr>
        <w:pStyle w:val="2"/>
      </w:pPr>
      <w:bookmarkStart w:id="10" w:name="_Toc28800"/>
      <w:bookmarkStart w:id="11" w:name="TitleFormat"/>
      <w:r>
        <w:rPr>
          <w:rFonts w:hint="eastAsia"/>
        </w:rPr>
        <w:t>设计依据</w:t>
      </w:r>
      <w:bookmarkEnd w:id="10"/>
    </w:p>
    <w:bookmarkEnd w:id="11"/>
    <w:p>
      <w:pPr>
        <w:widowControl w:val="0"/>
        <w:spacing w:line="360" w:lineRule="auto"/>
        <w:ind w:firstLine="420"/>
        <w:jc w:val="both"/>
        <w:rPr>
          <w:rFonts w:hint="eastAsia" w:eastAsia="宋体"/>
          <w:lang w:val="en-US" w:eastAsia="zh-CN"/>
        </w:rPr>
      </w:pPr>
      <w:bookmarkStart w:id="12" w:name="计算依据"/>
      <w:bookmarkEnd w:id="12"/>
      <w:r>
        <w:rPr>
          <w:rFonts w:hint="eastAsia"/>
          <w:kern w:val="2"/>
          <w:szCs w:val="24"/>
          <w:lang w:val="en-US"/>
        </w:rPr>
        <w:t>《</w:t>
      </w:r>
      <w:r>
        <w:rPr>
          <w:rFonts w:hint="eastAsia"/>
          <w:kern w:val="2"/>
          <w:szCs w:val="24"/>
          <w:lang w:val="en-US" w:eastAsia="zh-CN"/>
        </w:rPr>
        <w:t>绿色建筑评价</w:t>
      </w:r>
      <w:r>
        <w:rPr>
          <w:rFonts w:hint="eastAsia"/>
          <w:kern w:val="2"/>
          <w:szCs w:val="24"/>
          <w:lang w:val="en-US"/>
        </w:rPr>
        <w:t>标准》</w:t>
      </w:r>
      <w:r>
        <w:rPr>
          <w:rFonts w:hint="eastAsia"/>
          <w:kern w:val="2"/>
          <w:szCs w:val="24"/>
          <w:lang w:val="en-US" w:eastAsia="zh-CN"/>
        </w:rPr>
        <w:t>GB/T 50378</w:t>
      </w:r>
      <w:r>
        <w:rPr>
          <w:kern w:val="2"/>
          <w:szCs w:val="24"/>
          <w:lang w:val="en-US"/>
        </w:rPr>
        <w:t>-20</w:t>
      </w:r>
      <w:r>
        <w:rPr>
          <w:rFonts w:hint="eastAsia"/>
          <w:kern w:val="2"/>
          <w:szCs w:val="24"/>
          <w:lang w:val="en-US" w:eastAsia="zh-CN"/>
        </w:rPr>
        <w:t>19</w:t>
      </w:r>
    </w:p>
    <w:p>
      <w:pPr>
        <w:pStyle w:val="2"/>
      </w:pPr>
      <w:bookmarkStart w:id="13" w:name="_Toc17759"/>
      <w:r>
        <w:rPr>
          <w:rFonts w:hint="eastAsia"/>
          <w:lang w:val="en-US" w:eastAsia="zh-CN"/>
        </w:rPr>
        <w:t>原始建筑计算结果</w:t>
      </w:r>
      <w:bookmarkEnd w:id="13"/>
    </w:p>
    <w:p>
      <w:pPr>
        <w:pStyle w:val="4"/>
      </w:pPr>
      <w:bookmarkStart w:id="14" w:name="_Toc9199"/>
      <w:r>
        <w:rPr>
          <w:rFonts w:hint="eastAsia"/>
          <w:lang w:val="en-US" w:eastAsia="zh-CN"/>
        </w:rPr>
        <w:t>建材生产运输碳排放计算</w:t>
      </w:r>
      <w:bookmarkEnd w:id="14"/>
    </w:p>
    <w:p>
      <w:pPr>
        <w:pStyle w:val="4"/>
        <w:numPr>
          <w:ilvl w:val="1"/>
          <w:numId w:val="0"/>
        </w:numPr>
        <w:ind w:leftChars="0"/>
        <w:rPr>
          <w:rFonts w:hint="eastAsia" w:eastAsia="宋体"/>
          <w:lang w:eastAsia="zh-CN"/>
        </w:rPr>
      </w:pPr>
      <w:bookmarkStart w:id="15" w:name="_Toc29800"/>
      <w:r>
        <w:rPr>
          <w:rFonts w:hint="eastAsia" w:eastAsia="宋体"/>
          <w:lang w:eastAsia="zh-CN"/>
        </w:rPr>
        <w:drawing>
          <wp:inline distT="0" distB="0" distL="114300" distR="114300">
            <wp:extent cx="5756275" cy="2943225"/>
            <wp:effectExtent l="0" t="0" r="15875" b="9525"/>
            <wp:docPr id="5" name="图片 5" descr="全生命周期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全生命周期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5"/>
    </w:p>
    <w:p>
      <w:pPr>
        <w:pStyle w:val="4"/>
      </w:pPr>
      <w:bookmarkStart w:id="16" w:name="建筑列表"/>
      <w:bookmarkEnd w:id="16"/>
      <w:bookmarkStart w:id="17" w:name="_Toc29554"/>
      <w:r>
        <w:rPr>
          <w:rFonts w:hint="eastAsia"/>
          <w:lang w:val="en-US" w:eastAsia="zh-CN"/>
        </w:rPr>
        <w:t>建筑建造拆除碳排放计算</w:t>
      </w:r>
      <w:bookmarkEnd w:id="17"/>
    </w:p>
    <w:p>
      <w:pPr>
        <w:pStyle w:val="3"/>
        <w:ind w:left="0" w:leftChars="0" w:firstLine="0" w:firstLineChars="0"/>
        <w:rPr>
          <w:rFonts w:hint="eastAsia" w:eastAsia="宋体"/>
          <w:lang w:eastAsia="zh-CN"/>
        </w:rPr>
      </w:pPr>
      <w:bookmarkStart w:id="18" w:name="住区指标概览"/>
      <w:bookmarkEnd w:id="18"/>
      <w:r>
        <w:rPr>
          <w:rFonts w:hint="eastAsia" w:eastAsia="宋体"/>
          <w:lang w:eastAsia="zh-CN"/>
        </w:rPr>
        <w:drawing>
          <wp:inline distT="0" distB="0" distL="114300" distR="114300">
            <wp:extent cx="5756275" cy="2943225"/>
            <wp:effectExtent l="0" t="0" r="15875" b="9525"/>
            <wp:docPr id="6" name="图片 6" descr="全生命周期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全生命周期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default"/>
          <w:lang w:val="en-US" w:eastAsia="zh-CN"/>
        </w:rPr>
      </w:pPr>
      <w:bookmarkStart w:id="19" w:name="_Toc17954"/>
      <w:r>
        <w:rPr>
          <w:rFonts w:hint="eastAsia"/>
          <w:lang w:val="en-US" w:eastAsia="zh-CN"/>
        </w:rPr>
        <w:t>碳汇计算</w:t>
      </w:r>
      <w:bookmarkEnd w:id="19"/>
    </w:p>
    <w:p>
      <w:pPr>
        <w:pStyle w:val="3"/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756275" cy="2943225"/>
            <wp:effectExtent l="0" t="0" r="15875" b="9525"/>
            <wp:docPr id="7" name="图片 7" descr="全生命周期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全生命周期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20" w:name="_Toc15133"/>
      <w:r>
        <w:rPr>
          <w:rFonts w:hint="eastAsia"/>
          <w:lang w:val="en-US" w:eastAsia="zh-CN"/>
        </w:rPr>
        <w:t>建筑运行碳排放计算</w:t>
      </w:r>
      <w:bookmarkEnd w:id="20"/>
    </w:p>
    <w:p>
      <w:pPr>
        <w:pStyle w:val="3"/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756275" cy="2943225"/>
            <wp:effectExtent l="0" t="0" r="15875" b="9525"/>
            <wp:docPr id="8" name="图片 8" descr="全生命周期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全生命周期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eastAsia"/>
          <w:b/>
          <w:bCs/>
          <w:lang w:val="en-US" w:eastAsia="zh-CN"/>
        </w:rPr>
      </w:pPr>
      <w:bookmarkStart w:id="21" w:name="_Toc16316"/>
      <w:r>
        <w:rPr>
          <w:rFonts w:hint="eastAsia"/>
          <w:lang w:val="en-US" w:eastAsia="zh-CN"/>
        </w:rPr>
        <w:t>全生命周期碳排放汇总</w:t>
      </w:r>
      <w:bookmarkEnd w:id="21"/>
    </w:p>
    <w:p>
      <w:pPr>
        <w:pStyle w:val="3"/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5756275" cy="2943225"/>
            <wp:effectExtent l="0" t="0" r="15875" b="9525"/>
            <wp:docPr id="9" name="图片 9" descr="全生命周期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全生命周期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0" w:leftChars="0" w:firstLine="0" w:firstLineChars="0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结果分析及结论：</w:t>
      </w:r>
    </w:p>
    <w:p>
      <w:pPr>
        <w:pStyle w:val="3"/>
        <w:ind w:left="0" w:leftChars="0" w:firstLine="0" w:firstLine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 xml:space="preserve">    </w:t>
      </w:r>
      <w:r>
        <w:rPr>
          <w:rFonts w:hint="eastAsia"/>
          <w:b/>
          <w:bCs/>
          <w:color w:val="auto"/>
          <w:lang w:val="en-US" w:eastAsia="zh-CN"/>
        </w:rPr>
        <w:t xml:space="preserve">以上四项碳排放量汇总后，在建筑全生命周期内，原始建筑的总碳排放量为13711.829 </w:t>
      </w:r>
      <w:r>
        <w:rPr>
          <w:rFonts w:hint="eastAsia"/>
          <w:color w:val="auto"/>
          <w:lang w:val="en-US" w:eastAsia="zh-CN"/>
        </w:rPr>
        <w:t>tCo</w:t>
      </w:r>
      <w:r>
        <w:rPr>
          <w:rFonts w:hint="eastAsia"/>
          <w:color w:val="auto"/>
          <w:vertAlign w:val="subscript"/>
          <w:lang w:val="en-US" w:eastAsia="zh-CN"/>
        </w:rPr>
        <w:t>2</w:t>
      </w:r>
      <w:r>
        <w:rPr>
          <w:rFonts w:hint="eastAsia"/>
          <w:color w:val="auto"/>
          <w:vertAlign w:val="baseline"/>
          <w:lang w:val="en-US" w:eastAsia="zh-CN"/>
        </w:rPr>
        <w:t>。</w:t>
      </w:r>
    </w:p>
    <w:p>
      <w:pPr>
        <w:pStyle w:val="2"/>
        <w:rPr>
          <w:rFonts w:hint="default"/>
          <w:lang w:val="en-US" w:eastAsia="zh-CN"/>
        </w:rPr>
      </w:pPr>
      <w:bookmarkStart w:id="22" w:name="_Toc18209"/>
      <w:r>
        <w:rPr>
          <w:rFonts w:hint="eastAsia"/>
          <w:lang w:val="en-US" w:eastAsia="zh-CN"/>
        </w:rPr>
        <w:t>改造后碳排放计算结果</w:t>
      </w:r>
      <w:bookmarkEnd w:id="22"/>
    </w:p>
    <w:p>
      <w:pPr>
        <w:pStyle w:val="4"/>
        <w:rPr>
          <w:rFonts w:hint="default"/>
          <w:lang w:val="en-US" w:eastAsia="zh-CN"/>
        </w:rPr>
      </w:pPr>
      <w:bookmarkStart w:id="23" w:name="_Toc29018"/>
      <w:r>
        <w:rPr>
          <w:rFonts w:hint="eastAsia"/>
          <w:lang w:val="en-US" w:eastAsia="zh-CN"/>
        </w:rPr>
        <w:t>碳汇计算</w:t>
      </w:r>
      <w:bookmarkEnd w:id="23"/>
    </w:p>
    <w:p>
      <w:pPr>
        <w:pStyle w:val="3"/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752465" cy="3135630"/>
            <wp:effectExtent l="0" t="0" r="635" b="7620"/>
            <wp:docPr id="10" name="图片 10" descr="碳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碳汇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24" w:name="_Toc28900"/>
      <w:r>
        <w:rPr>
          <w:rFonts w:hint="eastAsia"/>
          <w:lang w:val="en-US" w:eastAsia="zh-CN"/>
        </w:rPr>
        <w:t>建筑运行碳排放计算</w:t>
      </w:r>
      <w:bookmarkEnd w:id="24"/>
    </w:p>
    <w:p>
      <w:pPr>
        <w:pStyle w:val="3"/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752465" cy="3135630"/>
            <wp:effectExtent l="0" t="0" r="635" b="7620"/>
            <wp:docPr id="11" name="图片 11" descr="运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运行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eastAsia"/>
          <w:b/>
          <w:bCs/>
          <w:lang w:val="en-US" w:eastAsia="zh-CN"/>
        </w:rPr>
      </w:pPr>
      <w:bookmarkStart w:id="25" w:name="_Toc31063"/>
      <w:r>
        <w:rPr>
          <w:rFonts w:hint="eastAsia"/>
          <w:lang w:val="en-US" w:eastAsia="zh-CN"/>
        </w:rPr>
        <w:t>全生命周期碳排放汇总</w:t>
      </w:r>
      <w:bookmarkEnd w:id="25"/>
    </w:p>
    <w:p>
      <w:pPr>
        <w:pStyle w:val="3"/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5752465" cy="3135630"/>
            <wp:effectExtent l="0" t="0" r="635" b="7620"/>
            <wp:docPr id="12" name="图片 12" descr="全生命周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全生命周期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26" w:name="平均热岛强度图片"/>
      <w:bookmarkEnd w:id="26"/>
      <w:bookmarkStart w:id="27" w:name="_Toc16494786"/>
      <w:bookmarkStart w:id="28" w:name="_Toc1464"/>
      <w:r>
        <w:rPr>
          <w:rFonts w:hint="eastAsia"/>
        </w:rPr>
        <w:t>结论</w:t>
      </w:r>
      <w:bookmarkEnd w:id="27"/>
      <w:bookmarkEnd w:id="28"/>
    </w:p>
    <w:p>
      <w:pPr>
        <w:pStyle w:val="3"/>
        <w:ind w:firstLine="420"/>
        <w:rPr>
          <w:rFonts w:hint="default" w:eastAsia="宋体"/>
          <w:lang w:val="en-US" w:eastAsia="zh-CN"/>
        </w:rPr>
      </w:pPr>
      <w:bookmarkStart w:id="29" w:name="结论"/>
      <w:bookmarkEnd w:id="29"/>
      <w:r>
        <w:rPr>
          <w:rFonts w:hint="eastAsia"/>
          <w:lang w:val="en-US" w:eastAsia="zh-CN"/>
        </w:rPr>
        <w:t>全生命周期建筑碳排放由13711降低为3509</w:t>
      </w:r>
      <w:r>
        <w:rPr>
          <w:rFonts w:hint="eastAsia"/>
          <w:b/>
          <w:bCs/>
          <w:color w:val="auto"/>
          <w:lang w:val="en-US" w:eastAsia="zh-CN"/>
        </w:rPr>
        <w:t xml:space="preserve"> </w:t>
      </w:r>
      <w:r>
        <w:rPr>
          <w:rFonts w:hint="eastAsia"/>
          <w:color w:val="auto"/>
          <w:lang w:val="en-US" w:eastAsia="zh-CN"/>
        </w:rPr>
        <w:t>tCO</w:t>
      </w:r>
      <w:r>
        <w:rPr>
          <w:rFonts w:hint="eastAsia"/>
          <w:color w:val="auto"/>
          <w:vertAlign w:val="subscript"/>
          <w:lang w:val="en-US" w:eastAsia="zh-CN"/>
        </w:rPr>
        <w:t>2。</w:t>
      </w:r>
    </w:p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7</w:t>
    </w:r>
    <w:r>
      <w:rPr>
        <w:rStyle w:val="24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jZWI4MTQ5OWNkZDdlOThkYWUwYmUwMTVjYWE3NmUifQ=="/>
  </w:docVars>
  <w:rsids>
    <w:rsidRoot w:val="3DC3290C"/>
    <w:rsid w:val="00000802"/>
    <w:rsid w:val="0000545C"/>
    <w:rsid w:val="0001409C"/>
    <w:rsid w:val="00026342"/>
    <w:rsid w:val="00026B3F"/>
    <w:rsid w:val="00037A4C"/>
    <w:rsid w:val="00051EA5"/>
    <w:rsid w:val="000A30EF"/>
    <w:rsid w:val="000B10AF"/>
    <w:rsid w:val="000B2169"/>
    <w:rsid w:val="000B2FE8"/>
    <w:rsid w:val="000D23A3"/>
    <w:rsid w:val="000F23AD"/>
    <w:rsid w:val="000F7EF2"/>
    <w:rsid w:val="00116794"/>
    <w:rsid w:val="00122AE1"/>
    <w:rsid w:val="00135FAF"/>
    <w:rsid w:val="00141106"/>
    <w:rsid w:val="0014776A"/>
    <w:rsid w:val="001828F2"/>
    <w:rsid w:val="001B3169"/>
    <w:rsid w:val="001B7C87"/>
    <w:rsid w:val="001D6C1E"/>
    <w:rsid w:val="00203A7D"/>
    <w:rsid w:val="002209B4"/>
    <w:rsid w:val="00234F4A"/>
    <w:rsid w:val="0023730B"/>
    <w:rsid w:val="002555B8"/>
    <w:rsid w:val="00272BDC"/>
    <w:rsid w:val="00285189"/>
    <w:rsid w:val="002B2BB0"/>
    <w:rsid w:val="002B4464"/>
    <w:rsid w:val="002C6391"/>
    <w:rsid w:val="002F0C69"/>
    <w:rsid w:val="002F10B3"/>
    <w:rsid w:val="002F1F5C"/>
    <w:rsid w:val="002F6715"/>
    <w:rsid w:val="0030437C"/>
    <w:rsid w:val="00305579"/>
    <w:rsid w:val="00310258"/>
    <w:rsid w:val="00310F6D"/>
    <w:rsid w:val="003121F7"/>
    <w:rsid w:val="00314D29"/>
    <w:rsid w:val="0032744D"/>
    <w:rsid w:val="003320D8"/>
    <w:rsid w:val="00346AFD"/>
    <w:rsid w:val="003553F6"/>
    <w:rsid w:val="003746AC"/>
    <w:rsid w:val="00384F21"/>
    <w:rsid w:val="003B0012"/>
    <w:rsid w:val="003B1855"/>
    <w:rsid w:val="003B4A5C"/>
    <w:rsid w:val="003B6BE2"/>
    <w:rsid w:val="003C6997"/>
    <w:rsid w:val="003E4437"/>
    <w:rsid w:val="00405087"/>
    <w:rsid w:val="00417088"/>
    <w:rsid w:val="004248AE"/>
    <w:rsid w:val="00463861"/>
    <w:rsid w:val="004654ED"/>
    <w:rsid w:val="00480784"/>
    <w:rsid w:val="00490A6C"/>
    <w:rsid w:val="00495F4C"/>
    <w:rsid w:val="004A29D4"/>
    <w:rsid w:val="004C4D23"/>
    <w:rsid w:val="004C69C1"/>
    <w:rsid w:val="004C79DA"/>
    <w:rsid w:val="004D230F"/>
    <w:rsid w:val="004D449D"/>
    <w:rsid w:val="004E2129"/>
    <w:rsid w:val="004F534A"/>
    <w:rsid w:val="004F694D"/>
    <w:rsid w:val="0050003A"/>
    <w:rsid w:val="00503750"/>
    <w:rsid w:val="005207E3"/>
    <w:rsid w:val="005215FB"/>
    <w:rsid w:val="005329A1"/>
    <w:rsid w:val="00545FB7"/>
    <w:rsid w:val="00561C8F"/>
    <w:rsid w:val="005755BA"/>
    <w:rsid w:val="0057692D"/>
    <w:rsid w:val="005812C2"/>
    <w:rsid w:val="0059787B"/>
    <w:rsid w:val="005A1749"/>
    <w:rsid w:val="005A3518"/>
    <w:rsid w:val="005C7162"/>
    <w:rsid w:val="005E7793"/>
    <w:rsid w:val="00613298"/>
    <w:rsid w:val="006132D3"/>
    <w:rsid w:val="00620211"/>
    <w:rsid w:val="0063211B"/>
    <w:rsid w:val="00634B5C"/>
    <w:rsid w:val="00651069"/>
    <w:rsid w:val="0065187B"/>
    <w:rsid w:val="0067336D"/>
    <w:rsid w:val="00685427"/>
    <w:rsid w:val="00694FCA"/>
    <w:rsid w:val="00695E82"/>
    <w:rsid w:val="006A159C"/>
    <w:rsid w:val="006A38D1"/>
    <w:rsid w:val="006B5695"/>
    <w:rsid w:val="006C3941"/>
    <w:rsid w:val="00710FCB"/>
    <w:rsid w:val="0072017E"/>
    <w:rsid w:val="0072214C"/>
    <w:rsid w:val="007514FE"/>
    <w:rsid w:val="0076735C"/>
    <w:rsid w:val="00767D6D"/>
    <w:rsid w:val="00774599"/>
    <w:rsid w:val="007D1A35"/>
    <w:rsid w:val="007F57A4"/>
    <w:rsid w:val="008329E7"/>
    <w:rsid w:val="00872A29"/>
    <w:rsid w:val="00883D6C"/>
    <w:rsid w:val="00886207"/>
    <w:rsid w:val="00897FCE"/>
    <w:rsid w:val="008B6B76"/>
    <w:rsid w:val="008E3905"/>
    <w:rsid w:val="008F4A97"/>
    <w:rsid w:val="009115AF"/>
    <w:rsid w:val="00917B5B"/>
    <w:rsid w:val="0092562F"/>
    <w:rsid w:val="00935D40"/>
    <w:rsid w:val="00940A35"/>
    <w:rsid w:val="009410A0"/>
    <w:rsid w:val="009744B2"/>
    <w:rsid w:val="00981F50"/>
    <w:rsid w:val="009B5732"/>
    <w:rsid w:val="009C3CAA"/>
    <w:rsid w:val="009C61AC"/>
    <w:rsid w:val="009D37B3"/>
    <w:rsid w:val="009D580B"/>
    <w:rsid w:val="009D7B62"/>
    <w:rsid w:val="009E4629"/>
    <w:rsid w:val="009E5E29"/>
    <w:rsid w:val="009F3F68"/>
    <w:rsid w:val="00A0719E"/>
    <w:rsid w:val="00A2517F"/>
    <w:rsid w:val="00A305A7"/>
    <w:rsid w:val="00A32590"/>
    <w:rsid w:val="00A355BD"/>
    <w:rsid w:val="00A402EA"/>
    <w:rsid w:val="00A53163"/>
    <w:rsid w:val="00A83D4E"/>
    <w:rsid w:val="00A85330"/>
    <w:rsid w:val="00A914AE"/>
    <w:rsid w:val="00AA47FE"/>
    <w:rsid w:val="00AA5071"/>
    <w:rsid w:val="00AA7C65"/>
    <w:rsid w:val="00AB536D"/>
    <w:rsid w:val="00AC7EEF"/>
    <w:rsid w:val="00B047B3"/>
    <w:rsid w:val="00B107D2"/>
    <w:rsid w:val="00B16C0D"/>
    <w:rsid w:val="00B41640"/>
    <w:rsid w:val="00B4240C"/>
    <w:rsid w:val="00B55B22"/>
    <w:rsid w:val="00B60841"/>
    <w:rsid w:val="00B60BAD"/>
    <w:rsid w:val="00B645C9"/>
    <w:rsid w:val="00B7457E"/>
    <w:rsid w:val="00BB1C06"/>
    <w:rsid w:val="00BD07CF"/>
    <w:rsid w:val="00BD4A14"/>
    <w:rsid w:val="00BE09CD"/>
    <w:rsid w:val="00BE4349"/>
    <w:rsid w:val="00C0203A"/>
    <w:rsid w:val="00C02441"/>
    <w:rsid w:val="00C22165"/>
    <w:rsid w:val="00C22E6B"/>
    <w:rsid w:val="00C32022"/>
    <w:rsid w:val="00C3317F"/>
    <w:rsid w:val="00C6180A"/>
    <w:rsid w:val="00C63237"/>
    <w:rsid w:val="00C67778"/>
    <w:rsid w:val="00C81F61"/>
    <w:rsid w:val="00C95557"/>
    <w:rsid w:val="00C97E25"/>
    <w:rsid w:val="00CA1797"/>
    <w:rsid w:val="00CA1AA5"/>
    <w:rsid w:val="00CA311D"/>
    <w:rsid w:val="00CB5853"/>
    <w:rsid w:val="00CB7BEB"/>
    <w:rsid w:val="00CC50E4"/>
    <w:rsid w:val="00CC5966"/>
    <w:rsid w:val="00CE28AA"/>
    <w:rsid w:val="00CE3E52"/>
    <w:rsid w:val="00CE4E4F"/>
    <w:rsid w:val="00D31D7E"/>
    <w:rsid w:val="00D40158"/>
    <w:rsid w:val="00D43C46"/>
    <w:rsid w:val="00D478B3"/>
    <w:rsid w:val="00D61312"/>
    <w:rsid w:val="00D62A9A"/>
    <w:rsid w:val="00D96AE9"/>
    <w:rsid w:val="00DC73AD"/>
    <w:rsid w:val="00DD16C4"/>
    <w:rsid w:val="00DD278F"/>
    <w:rsid w:val="00DD42A2"/>
    <w:rsid w:val="00DF470C"/>
    <w:rsid w:val="00E05530"/>
    <w:rsid w:val="00E16221"/>
    <w:rsid w:val="00E30A77"/>
    <w:rsid w:val="00E423BB"/>
    <w:rsid w:val="00E4518A"/>
    <w:rsid w:val="00E70834"/>
    <w:rsid w:val="00E72EFD"/>
    <w:rsid w:val="00E75AC2"/>
    <w:rsid w:val="00E76134"/>
    <w:rsid w:val="00E81ACD"/>
    <w:rsid w:val="00EA0210"/>
    <w:rsid w:val="00EA1164"/>
    <w:rsid w:val="00EA741A"/>
    <w:rsid w:val="00EB3EEF"/>
    <w:rsid w:val="00EC27FD"/>
    <w:rsid w:val="00EC41B6"/>
    <w:rsid w:val="00EC70F3"/>
    <w:rsid w:val="00ED3418"/>
    <w:rsid w:val="00EE005A"/>
    <w:rsid w:val="00EF0674"/>
    <w:rsid w:val="00EF5872"/>
    <w:rsid w:val="00EF5DD5"/>
    <w:rsid w:val="00F03100"/>
    <w:rsid w:val="00F16AE6"/>
    <w:rsid w:val="00F312DB"/>
    <w:rsid w:val="00F4565A"/>
    <w:rsid w:val="00F57037"/>
    <w:rsid w:val="00F75DD1"/>
    <w:rsid w:val="00F8427B"/>
    <w:rsid w:val="00F90890"/>
    <w:rsid w:val="00FA4B87"/>
    <w:rsid w:val="00FA733F"/>
    <w:rsid w:val="00FC0388"/>
    <w:rsid w:val="00FC105B"/>
    <w:rsid w:val="00FD32A2"/>
    <w:rsid w:val="00FF2243"/>
    <w:rsid w:val="00FF354D"/>
    <w:rsid w:val="00FF6C59"/>
    <w:rsid w:val="03290FAB"/>
    <w:rsid w:val="0BAD7FE1"/>
    <w:rsid w:val="139D0B46"/>
    <w:rsid w:val="16F202DD"/>
    <w:rsid w:val="1D831FE4"/>
    <w:rsid w:val="1DD55409"/>
    <w:rsid w:val="251913F0"/>
    <w:rsid w:val="35015AE7"/>
    <w:rsid w:val="3A86563A"/>
    <w:rsid w:val="3DC3290C"/>
    <w:rsid w:val="42BA57F4"/>
    <w:rsid w:val="43E00B6A"/>
    <w:rsid w:val="4B377B85"/>
    <w:rsid w:val="50C62AEC"/>
    <w:rsid w:val="51A959A7"/>
    <w:rsid w:val="53B81B80"/>
    <w:rsid w:val="5B466E6A"/>
    <w:rsid w:val="5B84161C"/>
    <w:rsid w:val="5E8473FE"/>
    <w:rsid w:val="747F57DB"/>
    <w:rsid w:val="756E33C9"/>
    <w:rsid w:val="7863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10</Pages>
  <Words>1084</Words>
  <Characters>1311</Characters>
  <Lines>24</Lines>
  <Paragraphs>6</Paragraphs>
  <TotalTime>0</TotalTime>
  <ScaleCrop>false</ScaleCrop>
  <LinksUpToDate>false</LinksUpToDate>
  <CharactersWithSpaces>1352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2022-01-06T03:13:00Z</dcterms:created>
  <dc:creator>呂慧潔</dc:creator>
  <cp:lastModifiedBy>呂慧潔</cp:lastModifiedBy>
  <dcterms:modified xsi:type="dcterms:W3CDTF">2023-01-02T05:23:59Z</dcterms:modified>
  <dc:title>住区热环境评价性设计计算书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0C0D747A828245FF8CF09C3E1887FFE3</vt:lpwstr>
  </property>
</Properties>
</file>