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拾光幼儿园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住宅建筑外窗传热系数降低比例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达到低限标准限值和高要求标准限值的平均值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88.0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83.0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52.0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113.0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62.0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总得分：Q=（Q0+Q1+Q2+Q3+Q4+Q5+QA）/10=89.8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1905000" cy="266700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11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88.0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