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</w:pPr>
      <w:bookmarkStart w:id="0" w:name="_Toc76995304"/>
      <w:r>
        <w:t>建筑形体规则性判定报告</w:t>
      </w:r>
      <w:bookmarkEnd w:id="0"/>
    </w:p>
    <w:p>
      <w:pPr>
        <w:ind w:firstLine="56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一、项目概况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石家庄旅投智慧康养中心项目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建设地点</w:t>
            </w:r>
          </w:p>
        </w:tc>
        <w:tc>
          <w:tcPr>
            <w:tcW w:w="6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 w:hAnsi="宋体"/>
                <w:color w:val="000000"/>
              </w:rPr>
              <w:t>石家庄正定新区，安业街以东，阳光路以北区域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石家庄旅投集团置业有限责任公司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河北建筑设计研究院有限责任公司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建筑主要功能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商业、办公等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建筑分类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一类高层公共建筑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设计工作年限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50年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29</w:t>
            </w:r>
            <w: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98.45</w:t>
            </w:r>
            <w:r>
              <w:rPr>
                <w:rFonts w:hint="eastAsia"/>
              </w:rPr>
              <w:t>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钢筋混凝土</w:t>
            </w:r>
            <w:r>
              <w:rPr>
                <w:rFonts w:hint="eastAsia"/>
                <w:lang w:eastAsia="zh-CN"/>
              </w:rPr>
              <w:t>剪力墙</w:t>
            </w:r>
            <w:r>
              <w:rPr>
                <w:rFonts w:hint="eastAsia"/>
              </w:rPr>
              <w:t>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建筑抗震设防类别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  <w:lang w:eastAsia="zh-CN"/>
              </w:rPr>
              <w:t>标准</w:t>
            </w:r>
            <w:r>
              <w:rPr>
                <w:rFonts w:hint="eastAsia"/>
              </w:rPr>
              <w:t>设防类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抗震设防烈度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t>7</w:t>
            </w:r>
            <w:r>
              <w:rPr>
                <w:rFonts w:hint="eastAsia"/>
              </w:rPr>
              <w:t>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设计地震分组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第二组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设计基本地震加速度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0.</w:t>
            </w:r>
            <w: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建筑物场地类别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III类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抗震等级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地面粗糙度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基本风压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0.3</w:t>
            </w:r>
            <w:r>
              <w:t>5</w:t>
            </w:r>
            <w:r>
              <w:rPr>
                <w:rFonts w:hint="eastAsia"/>
              </w:rPr>
              <w:t>KN/m2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基本雪压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0.3</w:t>
            </w:r>
            <w:r>
              <w:t>0</w:t>
            </w:r>
            <w:r>
              <w:rPr>
                <w:rFonts w:hint="eastAsia"/>
              </w:rPr>
              <w:t>KN/m2</w:t>
            </w:r>
          </w:p>
        </w:tc>
      </w:tr>
    </w:tbl>
    <w:p>
      <w:pPr>
        <w:ind w:firstLine="275" w:firstLineChars="98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二、绿建评价标准要求</w:t>
      </w:r>
    </w:p>
    <w:p>
      <w:pPr>
        <w:ind w:firstLine="420"/>
      </w:pPr>
      <w:r>
        <w:rPr>
          <w:rFonts w:hint="eastAsia"/>
        </w:rPr>
        <w:t>1. 根据河北省《绿色建筑评价标准》DB13（J）/T 8427-2021的要求，应对建筑形体规则性进行判定，依据判定结果，赋予相应的评价得分。</w:t>
      </w:r>
    </w:p>
    <w:p>
      <w:pPr>
        <w:ind w:firstLine="420"/>
      </w:pPr>
      <w:r>
        <w:rPr>
          <w:rFonts w:hint="eastAsia"/>
        </w:rPr>
        <w:t>2.河北省《绿色建筑评价标准》DB13（J）/T 8427-2021条文原文如下：</w:t>
      </w:r>
    </w:p>
    <w:p>
      <w:pPr>
        <w:ind w:firstLine="420"/>
      </w:pPr>
      <w:r>
        <w:rPr>
          <w:rFonts w:hint="eastAsia"/>
        </w:rPr>
        <w:t>7.1.8</w:t>
      </w:r>
      <w:r>
        <w:tab/>
      </w:r>
      <w:r>
        <w:t>不应采用建筑形体和布置严重不规则的建筑结构。</w:t>
      </w:r>
    </w:p>
    <w:p>
      <w:pPr>
        <w:ind w:firstLine="275" w:firstLineChars="98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三、建筑形体规则性的判定</w:t>
      </w:r>
    </w:p>
    <w:p>
      <w:pPr>
        <w:ind w:firstLine="420"/>
      </w:pPr>
      <w:r>
        <w:rPr>
          <w:rFonts w:hint="eastAsia"/>
        </w:rPr>
        <w:t>1. 主要依据</w:t>
      </w:r>
    </w:p>
    <w:p>
      <w:pPr>
        <w:ind w:firstLine="420"/>
      </w:pPr>
      <w:r>
        <w:rPr>
          <w:rFonts w:hint="eastAsia"/>
        </w:rPr>
        <w:t>《结构计算书》</w:t>
      </w:r>
    </w:p>
    <w:p>
      <w:pPr>
        <w:ind w:firstLine="420"/>
      </w:pPr>
      <w:r>
        <w:rPr>
          <w:rFonts w:hint="eastAsia"/>
        </w:rPr>
        <w:t>《建筑抗震设计规范》GB 50011-2010</w:t>
      </w:r>
      <w:r>
        <w:t>—</w:t>
      </w:r>
      <w:r>
        <w:rPr>
          <w:rFonts w:hint="eastAsia"/>
        </w:rPr>
        <w:t>用于判断平面规则性</w:t>
      </w:r>
    </w:p>
    <w:p>
      <w:pPr>
        <w:ind w:firstLine="420"/>
      </w:pPr>
      <w:r>
        <w:rPr>
          <w:rFonts w:hint="eastAsia"/>
        </w:rPr>
        <w:t>2. 依据《建筑抗震设计规范》GB 50011-2010第3.4.1、3.4.3条及条文解释，建筑形体规则性的定义和参考指标如下：</w:t>
      </w:r>
    </w:p>
    <w:p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表3.4.3-1   平面不规则的主要类型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6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定义和参考指标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扭转不规则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在规定的水平力作用下，楼层的最大弹性水平位移（或层间位移），大于该楼层两端弹性水平位移（或层间位移）平均值的</w:t>
            </w:r>
            <w:r>
              <w:t>1.2</w:t>
            </w:r>
            <w:r>
              <w:rPr>
                <w:rFonts w:hint="eastAsia"/>
              </w:rPr>
              <w:t>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凹凸不规则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平面凹进的尺寸，大于相应投影方向总尺寸的</w:t>
            </w:r>
            <w: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楼板局部不连续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楼板的尺寸和平面刚度急剧变化，例如，有效楼板宽度小于该层楼板典型宽度的</w:t>
            </w:r>
            <w:r>
              <w:t>50%</w:t>
            </w:r>
            <w:r>
              <w:rPr>
                <w:rFonts w:hint="eastAsia"/>
              </w:rPr>
              <w:t>，或开洞面积大于该层楼面面积的</w:t>
            </w:r>
            <w:r>
              <w:t>30%</w:t>
            </w:r>
            <w:r>
              <w:rPr>
                <w:rFonts w:hint="eastAsia"/>
              </w:rPr>
              <w:t>，或较大的楼层错层</w:t>
            </w:r>
          </w:p>
        </w:tc>
      </w:tr>
    </w:tbl>
    <w:p>
      <w:pPr>
        <w:ind w:firstLine="420"/>
        <w:jc w:val="center"/>
        <w:rPr>
          <w:rFonts w:ascii="宋体" w:hAnsi="宋体"/>
          <w:b/>
          <w:szCs w:val="21"/>
        </w:rPr>
      </w:pPr>
    </w:p>
    <w:p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表3.4.3-2   竖向不规则的主要类型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6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定义和参考指标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侧向刚度不规则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该层的侧向刚度小于相邻上一层的</w:t>
            </w:r>
            <w:r>
              <w:t>70%</w:t>
            </w:r>
            <w:r>
              <w:rPr>
                <w:rFonts w:hint="eastAsia"/>
              </w:rPr>
              <w:t>，或小于其上相邻三个楼层侧向刚度平均值的</w:t>
            </w:r>
            <w:r>
              <w:t>80%</w:t>
            </w:r>
            <w:r>
              <w:rPr>
                <w:rFonts w:hint="eastAsia"/>
              </w:rPr>
              <w:t>；除顶层或出屋面小建筑外，局部收进的水平向尺寸大于相邻下一层的</w:t>
            </w:r>
            <w: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竖向抗侧力构件不连续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竖向抗侧力构件（柱、抗震墙、抗震支撑）的内力由水平转换构件（梁、桁架等）向下传递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楼层承载力突变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抗侧力结构的层间受剪承载力小于相邻上一楼层的</w:t>
            </w:r>
            <w:r>
              <w:t>80%</w:t>
            </w:r>
          </w:p>
        </w:tc>
      </w:tr>
    </w:tbl>
    <w:p>
      <w:pPr>
        <w:ind w:firstLine="480"/>
        <w:jc w:val="center"/>
        <w:rPr>
          <w:rFonts w:ascii="宋体" w:hAnsi="宋体"/>
          <w:sz w:val="24"/>
        </w:rPr>
      </w:pPr>
    </w:p>
    <w:p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表3.4.1   特别不规则的项目举例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15"/>
        <w:gridCol w:w="6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序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简要涵义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1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扭转偏大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裙房以上有较多楼层考虑偶然偏心的扭转位移比大于1.4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2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抗扭刚度弱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扭转周期比大于0.9，混合结构扭转周期比大于0.85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3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层刚度偏小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本层侧向刚度小于相邻上层的50%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4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高位转换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框支墙体的转换构件位置：7度超过5层，8度超过3层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5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厚板转换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7～9度设防的厚板转换结构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6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塔楼偏置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单塔或多塔合质心与大底盘的质心偏心距大于底盘相应边长20%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7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复杂连接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各部分层数、刚度、布置不同的错层或连体两端塔楼显著不规则的结构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8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多重复杂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同时具有转换层、加强层、错层、连体和多塔类型中2种以上</w:t>
            </w:r>
          </w:p>
        </w:tc>
      </w:tr>
    </w:tbl>
    <w:p>
      <w:pPr>
        <w:spacing w:line="440" w:lineRule="exact"/>
        <w:ind w:firstLine="480"/>
        <w:rPr>
          <w:rFonts w:ascii="宋体" w:hAnsi="宋体"/>
          <w:sz w:val="24"/>
        </w:rPr>
      </w:pPr>
    </w:p>
    <w:p>
      <w:pPr>
        <w:ind w:firstLine="420"/>
      </w:pPr>
      <w:r>
        <w:rPr>
          <w:rFonts w:hint="eastAsia"/>
        </w:rPr>
        <w:t>3. 依据《建筑抗震设计规范》GB 50011-2010第3.4.1条及条文解释，建筑形体规则性分为：规则、不规则，特别不规则、严重不规则，判定标准如下：</w:t>
      </w:r>
    </w:p>
    <w:p>
      <w:pPr>
        <w:spacing w:line="440" w:lineRule="exact"/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规则性判定标准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7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规则类型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指表3.4.3所列举的不规则类型，均不存在。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指表3.4.3所列举的不规则类型，存在二个（含）及以下。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特别</w:t>
            </w:r>
          </w:p>
          <w:p>
            <w:pPr>
              <w:pStyle w:val="7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具有较明显的抗震微弱部位，可能引起不良后果者，其参考界限可参见《超限高层建筑工程抗震设防专项审查技术要点》，通常有三类：其一，同时具有表3.4.3所列六个主要不规则类型的三个或三个以上；其二，具有表3.4.1所列的一项不规则；其三，具有表3.4.3所列两个方面的基本不规则且其中有一项接近表3.4.1的不规则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严重</w:t>
            </w:r>
          </w:p>
          <w:p>
            <w:pPr>
              <w:pStyle w:val="7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指的是形体复杂，多项不规则指标超过《建筑抗震设计规范》第3.4.4条上限值或某一项大大超过规定值，具有现有技术和经济条件不能克服的严重的抗震薄弱环节，可能导致地震破坏的严重后果者。</w:t>
            </w:r>
          </w:p>
        </w:tc>
      </w:tr>
    </w:tbl>
    <w:p>
      <w:pPr>
        <w:ind w:firstLine="600" w:firstLineChars="250"/>
        <w:rPr>
          <w:rFonts w:ascii="宋体" w:hAnsi="宋体"/>
          <w:sz w:val="24"/>
        </w:rPr>
      </w:pPr>
    </w:p>
    <w:p>
      <w:pPr>
        <w:ind w:firstLine="525" w:firstLineChars="25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本项目建筑基本情况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992"/>
        <w:gridCol w:w="992"/>
        <w:gridCol w:w="993"/>
        <w:gridCol w:w="1134"/>
        <w:gridCol w:w="708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层数</w:t>
            </w:r>
          </w:p>
          <w:p>
            <w:pPr>
              <w:pStyle w:val="7"/>
            </w:pPr>
            <w:r>
              <w:rPr>
                <w:rFonts w:hint="eastAsia"/>
              </w:rPr>
              <w:t>（地下/地上）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主体高度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房屋平面尺寸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抗震缝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结构类型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99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长度（m）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宽度（m）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660" w:type="dxa"/>
            <w:vAlign w:val="center"/>
          </w:tcPr>
          <w:p>
            <w:pPr>
              <w:pStyle w:val="7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塔楼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2/29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98.45</w:t>
            </w: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38.1</w:t>
            </w:r>
            <w:r>
              <w:rPr>
                <w:rFonts w:hint="eastAsia"/>
              </w:rPr>
              <w:t>00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38.9</w:t>
            </w:r>
            <w:r>
              <w:rPr>
                <w:rFonts w:hint="eastAsia"/>
              </w:rPr>
              <w:t>00</w:t>
            </w:r>
          </w:p>
        </w:tc>
        <w:tc>
          <w:tcPr>
            <w:tcW w:w="708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无</w:t>
            </w:r>
          </w:p>
        </w:tc>
        <w:tc>
          <w:tcPr>
            <w:tcW w:w="1043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剪力墙</w:t>
            </w:r>
          </w:p>
        </w:tc>
      </w:tr>
    </w:tbl>
    <w:p>
      <w:pPr>
        <w:ind w:firstLine="420"/>
      </w:pPr>
      <w:r>
        <w:t>5</w:t>
      </w:r>
      <w:r>
        <w:rPr>
          <w:rFonts w:hint="eastAsia"/>
        </w:rPr>
        <w:t>. 本项目建筑形体规则性判定表</w:t>
      </w: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扭转不规则判定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03"/>
        <w:gridCol w:w="1412"/>
        <w:gridCol w:w="1413"/>
        <w:gridCol w:w="1413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最大层间侧移（△u</w:t>
            </w:r>
            <w:r>
              <w:t>/</w:t>
            </w:r>
            <w:r>
              <w:rPr>
                <w:rFonts w:hint="eastAsia"/>
              </w:rPr>
              <w:t>h）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最大层间侧移与平均位移比值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120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塔楼</w:t>
            </w:r>
          </w:p>
        </w:tc>
        <w:tc>
          <w:tcPr>
            <w:tcW w:w="1203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t>1/</w:t>
            </w:r>
            <w:r>
              <w:rPr>
                <w:rFonts w:hint="eastAsia"/>
                <w:lang w:val="en-US" w:eastAsia="zh-CN"/>
              </w:rPr>
              <w:t>1259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/</w:t>
            </w:r>
            <w:r>
              <w:rPr>
                <w:rFonts w:hint="eastAsia"/>
                <w:lang w:val="en-US" w:eastAsia="zh-CN"/>
              </w:rPr>
              <w:t>1328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扭转不规则</w:t>
            </w:r>
          </w:p>
        </w:tc>
      </w:tr>
    </w:tbl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凹凸不规则判定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25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951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4253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平面凹进的尺寸占相应投影方向总尺寸的百分比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塔楼</w:t>
            </w:r>
          </w:p>
        </w:tc>
        <w:tc>
          <w:tcPr>
            <w:tcW w:w="4253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>
      <w:pPr>
        <w:spacing w:line="440" w:lineRule="exact"/>
        <w:ind w:firstLine="480"/>
        <w:rPr>
          <w:rFonts w:ascii="宋体" w:hAnsi="宋体"/>
          <w:b/>
          <w:sz w:val="24"/>
        </w:rPr>
      </w:pP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楼板不连续判定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14"/>
        <w:gridCol w:w="1582"/>
        <w:gridCol w:w="1582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5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1514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有效楼板宽度与该层楼板典型宽度百分比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开洞面积与该层楼面面积的百分比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楼层错层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塔楼</w:t>
            </w:r>
          </w:p>
        </w:tc>
        <w:tc>
          <w:tcPr>
            <w:tcW w:w="1514" w:type="dxa"/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52</w:t>
            </w:r>
            <w:r>
              <w:rPr>
                <w:rFonts w:hint="eastAsia"/>
              </w:rPr>
              <w:t>%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24</w:t>
            </w:r>
            <w:r>
              <w:t>%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无错层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  <w:lang w:eastAsia="zh-CN"/>
              </w:rPr>
              <w:t>不</w:t>
            </w:r>
            <w:r>
              <w:rPr>
                <w:rFonts w:hint="eastAsia"/>
                <w:szCs w:val="21"/>
              </w:rPr>
              <w:t>规则</w:t>
            </w:r>
          </w:p>
        </w:tc>
      </w:tr>
    </w:tbl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侧向刚度不规则判定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74"/>
        <w:gridCol w:w="2826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5300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最小侧向刚度比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2474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塔楼</w:t>
            </w:r>
          </w:p>
        </w:tc>
        <w:tc>
          <w:tcPr>
            <w:tcW w:w="2474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t>1.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>
      <w:pPr>
        <w:spacing w:line="440" w:lineRule="exact"/>
        <w:ind w:firstLine="199" w:firstLineChars="83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199" w:firstLineChars="83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竖向抗侧力构件连续判定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395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809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4395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竖向抗侧力构件的内力由水平转换构件向下传递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塔楼</w:t>
            </w:r>
          </w:p>
        </w:tc>
        <w:tc>
          <w:tcPr>
            <w:tcW w:w="4395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无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连续</w:t>
            </w:r>
          </w:p>
        </w:tc>
      </w:tr>
    </w:tbl>
    <w:p>
      <w:pPr>
        <w:spacing w:line="440" w:lineRule="exact"/>
        <w:ind w:firstLine="600" w:firstLineChars="250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600" w:firstLineChars="25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楼层承载力突变判定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74"/>
        <w:gridCol w:w="2826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5300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最小楼层承载力比值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2474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塔楼</w:t>
            </w:r>
          </w:p>
        </w:tc>
        <w:tc>
          <w:tcPr>
            <w:tcW w:w="2474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0.95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0.92</w:t>
            </w:r>
            <w:bookmarkStart w:id="1" w:name="_GoBack"/>
            <w:bookmarkEnd w:id="1"/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无突变</w:t>
            </w:r>
          </w:p>
        </w:tc>
      </w:tr>
    </w:tbl>
    <w:p>
      <w:pPr>
        <w:spacing w:line="440" w:lineRule="exact"/>
        <w:ind w:firstLine="390" w:firstLineChars="195"/>
        <w:rPr>
          <w:rFonts w:asciiTheme="minorEastAsia" w:hAnsiTheme="minorEastAsia" w:eastAsiaTheme="minorEastAsia"/>
          <w:bCs/>
          <w:sz w:val="20"/>
          <w:szCs w:val="20"/>
        </w:rPr>
      </w:pPr>
    </w:p>
    <w:p>
      <w:pPr>
        <w:spacing w:line="440" w:lineRule="exact"/>
        <w:ind w:firstLine="390" w:firstLineChars="195"/>
        <w:rPr>
          <w:rFonts w:asciiTheme="minorEastAsia" w:hAnsiTheme="minorEastAsia" w:eastAsiaTheme="minorEastAsia"/>
          <w:bCs/>
          <w:sz w:val="20"/>
          <w:szCs w:val="20"/>
        </w:rPr>
      </w:pPr>
    </w:p>
    <w:p>
      <w:pPr>
        <w:spacing w:line="440" w:lineRule="exact"/>
        <w:ind w:firstLine="546" w:firstLineChars="195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四、结论</w:t>
      </w:r>
    </w:p>
    <w:p>
      <w:pPr>
        <w:ind w:firstLine="420"/>
      </w:pPr>
      <w:r>
        <w:rPr>
          <w:rFonts w:hint="eastAsia"/>
        </w:rPr>
        <w:t>综上所述，本项目建筑形体规则性判定为</w:t>
      </w:r>
      <w:r>
        <w:rPr>
          <w:rFonts w:hint="eastAsia"/>
          <w:b/>
        </w:rPr>
        <w:t>不规则</w:t>
      </w:r>
      <w:r>
        <w:rPr>
          <w:rFonts w:hint="eastAsia"/>
        </w:rPr>
        <w:t>，</w:t>
      </w:r>
      <w:r>
        <w:t>不</w:t>
      </w:r>
      <w:r>
        <w:rPr>
          <w:rFonts w:hint="eastAsia"/>
        </w:rPr>
        <w:t>属于</w:t>
      </w:r>
      <w:r>
        <w:t>建筑形体和布置严重不规则的建筑结构</w:t>
      </w:r>
      <w:r>
        <w:rPr>
          <w:rFonts w:hint="eastAsia"/>
        </w:rPr>
        <w:t>，满足7.1.8要求。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 Light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94CBE"/>
    <w:multiLevelType w:val="multilevel"/>
    <w:tmpl w:val="27094CBE"/>
    <w:lvl w:ilvl="0" w:tentative="0">
      <w:start w:val="1"/>
      <w:numFmt w:val="chineseCountingThousand"/>
      <w:pStyle w:val="4"/>
      <w:lvlText w:val="（%1）"/>
      <w:lvlJc w:val="center"/>
      <w:pPr>
        <w:tabs>
          <w:tab w:val="left" w:pos="0"/>
        </w:tabs>
        <w:ind w:left="0" w:firstLine="3402"/>
      </w:pPr>
      <w:rPr>
        <w:rFonts w:hint="eastAsia"/>
      </w:rPr>
    </w:lvl>
    <w:lvl w:ilvl="1" w:tentative="0">
      <w:start w:val="1"/>
      <w:numFmt w:val="none"/>
      <w:lvlText w:val=""/>
      <w:lvlJc w:val="left"/>
      <w:pPr>
        <w:ind w:left="4106" w:hanging="567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4532" w:hanging="567"/>
      </w:pPr>
      <w:rPr>
        <w:rFonts w:hint="eastAsia"/>
      </w:rPr>
    </w:lvl>
    <w:lvl w:ilvl="3" w:tentative="0">
      <w:start w:val="1"/>
      <w:numFmt w:val="none"/>
      <w:lvlText w:val=""/>
      <w:lvlJc w:val="left"/>
      <w:pPr>
        <w:ind w:left="5098" w:hanging="708"/>
      </w:pPr>
      <w:rPr>
        <w:rFonts w:hint="eastAsia"/>
      </w:rPr>
    </w:lvl>
    <w:lvl w:ilvl="4" w:tentative="0">
      <w:start w:val="1"/>
      <w:numFmt w:val="none"/>
      <w:lvlText w:val=""/>
      <w:lvlJc w:val="left"/>
      <w:pPr>
        <w:ind w:left="5665" w:hanging="850"/>
      </w:pPr>
      <w:rPr>
        <w:rFonts w:hint="eastAsia"/>
      </w:rPr>
    </w:lvl>
    <w:lvl w:ilvl="5" w:tentative="0">
      <w:start w:val="1"/>
      <w:numFmt w:val="none"/>
      <w:lvlText w:val=""/>
      <w:lvlJc w:val="left"/>
      <w:pPr>
        <w:ind w:left="637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94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750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8216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iMmVlYTQ5M2ZiYmJhNGZlNzBlNDNlY2JkMGY2NTgifQ=="/>
  </w:docVars>
  <w:rsids>
    <w:rsidRoot w:val="0FFF251C"/>
    <w:rsid w:val="000075E4"/>
    <w:rsid w:val="00057C94"/>
    <w:rsid w:val="000D6A22"/>
    <w:rsid w:val="00140D0F"/>
    <w:rsid w:val="001A451D"/>
    <w:rsid w:val="002C2186"/>
    <w:rsid w:val="002C2A22"/>
    <w:rsid w:val="003644F2"/>
    <w:rsid w:val="003846DE"/>
    <w:rsid w:val="003B4544"/>
    <w:rsid w:val="00416652"/>
    <w:rsid w:val="00421808"/>
    <w:rsid w:val="00431AA0"/>
    <w:rsid w:val="004A5C76"/>
    <w:rsid w:val="004C5F83"/>
    <w:rsid w:val="004F1D45"/>
    <w:rsid w:val="005E41C4"/>
    <w:rsid w:val="00616D44"/>
    <w:rsid w:val="006A3E6F"/>
    <w:rsid w:val="006B2E0B"/>
    <w:rsid w:val="006D77B9"/>
    <w:rsid w:val="00762FDB"/>
    <w:rsid w:val="0082440C"/>
    <w:rsid w:val="008A465F"/>
    <w:rsid w:val="00911C33"/>
    <w:rsid w:val="009149C9"/>
    <w:rsid w:val="00967B44"/>
    <w:rsid w:val="00A95694"/>
    <w:rsid w:val="00AF7B85"/>
    <w:rsid w:val="00BC1061"/>
    <w:rsid w:val="00C61FE1"/>
    <w:rsid w:val="00CC4594"/>
    <w:rsid w:val="00D1177F"/>
    <w:rsid w:val="00DE1F2C"/>
    <w:rsid w:val="00E44608"/>
    <w:rsid w:val="00E61526"/>
    <w:rsid w:val="00E81550"/>
    <w:rsid w:val="00ED6849"/>
    <w:rsid w:val="00EF3D10"/>
    <w:rsid w:val="00F50348"/>
    <w:rsid w:val="00F56E66"/>
    <w:rsid w:val="00F927D9"/>
    <w:rsid w:val="0FFF251C"/>
    <w:rsid w:val="18215A56"/>
    <w:rsid w:val="3A2372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</w:pPr>
    <w:rPr>
      <w:rFonts w:ascii="Times New Roman" w:hAnsi="Times New Roman" w:eastAsia="微软雅黑" w:cs="Times New Roman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numPr>
        <w:ilvl w:val="0"/>
        <w:numId w:val="1"/>
      </w:numPr>
      <w:snapToGrid w:val="0"/>
      <w:spacing w:before="120" w:after="120"/>
      <w:ind w:firstLine="0" w:firstLineChars="0"/>
      <w:jc w:val="center"/>
      <w:outlineLvl w:val="0"/>
    </w:pPr>
    <w:rPr>
      <w:rFonts w:ascii="Cambria" w:hAnsi="Cambria" w:eastAsia="微软雅黑 Light"/>
      <w:b/>
      <w:bCs/>
      <w:sz w:val="36"/>
      <w:szCs w:val="32"/>
    </w:rPr>
  </w:style>
  <w:style w:type="paragraph" w:customStyle="1" w:styleId="7">
    <w:name w:val="不缩进"/>
    <w:basedOn w:val="1"/>
    <w:qFormat/>
    <w:uiPriority w:val="0"/>
    <w:pPr>
      <w:snapToGrid w:val="0"/>
      <w:ind w:firstLine="0" w:firstLineChars="0"/>
    </w:pPr>
    <w:rPr>
      <w:rFonts w:eastAsia="宋体"/>
      <w:sz w:val="20"/>
    </w:rPr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微软雅黑" w:cs="Times New Roman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Times New Roman" w:hAnsi="Times New Roman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1803</Words>
  <Characters>2037</Characters>
  <Lines>16</Lines>
  <Paragraphs>4</Paragraphs>
  <TotalTime>543</TotalTime>
  <ScaleCrop>false</ScaleCrop>
  <LinksUpToDate>false</LinksUpToDate>
  <CharactersWithSpaces>2057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2022-05-11T08:08:00Z</dcterms:created>
  <dc:creator>影</dc:creator>
  <cp:lastModifiedBy>lenovo</cp:lastModifiedBy>
  <dcterms:modified xsi:type="dcterms:W3CDTF">2023-05-06T01:38:11Z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C9A262CC48AC4687A70C458253FB5F7E</vt:lpwstr>
  </property>
</Properties>
</file>