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新建怀来县沙城镇第五小学项目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r>
              <w:rPr>
                <w:rFonts w:hint="eastAsia"/>
              </w:rPr>
              <w:t>B7A05.405</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怀来县沙城镇第五小学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中机十院国际工程有限公司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rPr>
                <w:rFonts w:hint="eastAsia" w:eastAsia="微软雅黑"/>
                <w:lang w:eastAsia="zh-CN"/>
              </w:rPr>
            </w:pPr>
            <w:r>
              <w:rPr>
                <w:rFonts w:hint="eastAsia"/>
                <w:lang w:eastAsia="zh-CN"/>
              </w:rPr>
              <w:t>何梦漪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rPr>
                <w:rFonts w:hint="eastAsia" w:eastAsia="微软雅黑"/>
                <w:lang w:eastAsia="zh-CN"/>
              </w:rPr>
            </w:pPr>
            <w:r>
              <w:rPr>
                <w:rFonts w:hint="eastAsia"/>
                <w:lang w:eastAsia="zh-CN"/>
              </w:rPr>
              <w:t>陈筱军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rPr>
                <w:rFonts w:hint="eastAsia" w:eastAsia="微软雅黑"/>
                <w:lang w:eastAsia="zh-CN"/>
              </w:rPr>
            </w:pPr>
            <w:r>
              <w:rPr>
                <w:rFonts w:hint="eastAsia"/>
                <w:lang w:eastAsia="zh-CN"/>
              </w:rPr>
              <w:t>翟煜</w:t>
            </w:r>
            <w:bookmarkStart w:id="76" w:name="_GoBack"/>
            <w:bookmarkEnd w:id="7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2023年4月6日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20220401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P3F686E54</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"_Toc131692033" </w:instrText>
      </w:r>
      <w:r>
        <w:fldChar w:fldCharType="separate"/>
      </w:r>
      <w:r>
        <w:rPr>
          <w:rStyle w:val="25"/>
        </w:rPr>
        <w:t>1</w:t>
      </w:r>
      <w:r>
        <w:rPr>
          <w:rFonts w:asciiTheme="minorHAnsi" w:hAnsiTheme="minorHAnsi" w:eastAsiaTheme="minorEastAsia" w:cstheme="minorBidi"/>
          <w:b w:val="0"/>
          <w:bCs w:val="0"/>
          <w:sz w:val="21"/>
          <w:szCs w:val="22"/>
        </w:rPr>
        <w:tab/>
      </w:r>
      <w:r>
        <w:rPr>
          <w:rStyle w:val="25"/>
          <w:rFonts w:hint="eastAsia"/>
        </w:rPr>
        <w:t>建筑概况</w:t>
      </w:r>
      <w:r>
        <w:tab/>
      </w:r>
      <w:r>
        <w:fldChar w:fldCharType="begin"/>
      </w:r>
      <w:r>
        <w:instrText xml:space="preserve"> PAGEREF _Toc131692033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"_Toc131692034" </w:instrText>
      </w:r>
      <w:r>
        <w:fldChar w:fldCharType="separate"/>
      </w:r>
      <w:r>
        <w:rPr>
          <w:rStyle w:val="25"/>
        </w:rPr>
        <w:t>2</w:t>
      </w:r>
      <w:r>
        <w:rPr>
          <w:rFonts w:asciiTheme="minorHAnsi" w:hAnsiTheme="minorHAnsi" w:eastAsiaTheme="minorEastAsia" w:cstheme="minorBidi"/>
          <w:b w:val="0"/>
          <w:bCs w:val="0"/>
          <w:sz w:val="21"/>
          <w:szCs w:val="22"/>
        </w:rPr>
        <w:tab/>
      </w:r>
      <w:r>
        <w:rPr>
          <w:rStyle w:val="25"/>
          <w:rFonts w:hint="eastAsia"/>
        </w:rPr>
        <w:t>评价依据</w:t>
      </w:r>
      <w:r>
        <w:tab/>
      </w:r>
      <w:r>
        <w:fldChar w:fldCharType="begin"/>
      </w:r>
      <w:r>
        <w:instrText xml:space="preserve"> PAGEREF _Toc131692034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"_Toc131692035" </w:instrText>
      </w:r>
      <w:r>
        <w:fldChar w:fldCharType="separate"/>
      </w:r>
      <w:r>
        <w:rPr>
          <w:rStyle w:val="25"/>
        </w:rPr>
        <w:t>3</w:t>
      </w:r>
      <w:r>
        <w:rPr>
          <w:rFonts w:asciiTheme="minorHAnsi" w:hAnsiTheme="minorHAnsi" w:eastAsiaTheme="minorEastAsia" w:cstheme="minorBidi"/>
          <w:b w:val="0"/>
          <w:bCs w:val="0"/>
          <w:sz w:val="21"/>
          <w:szCs w:val="22"/>
        </w:rPr>
        <w:tab/>
      </w:r>
      <w:r>
        <w:rPr>
          <w:rStyle w:val="25"/>
          <w:rFonts w:hint="eastAsia"/>
        </w:rPr>
        <w:t>标准要求</w:t>
      </w:r>
      <w:r>
        <w:tab/>
      </w:r>
      <w:r>
        <w:fldChar w:fldCharType="begin"/>
      </w:r>
      <w:r>
        <w:instrText xml:space="preserve"> PAGEREF _Toc131692035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"_Toc131692036" </w:instrText>
      </w:r>
      <w:r>
        <w:fldChar w:fldCharType="separate"/>
      </w:r>
      <w:r>
        <w:rPr>
          <w:rStyle w:val="25"/>
        </w:rPr>
        <w:t>4</w:t>
      </w:r>
      <w:r>
        <w:rPr>
          <w:rFonts w:asciiTheme="minorHAnsi" w:hAnsiTheme="minorHAnsi" w:eastAsiaTheme="minorEastAsia" w:cstheme="minorBidi"/>
          <w:b w:val="0"/>
          <w:bCs w:val="0"/>
          <w:sz w:val="21"/>
          <w:szCs w:val="22"/>
        </w:rPr>
        <w:tab/>
      </w:r>
      <w:r>
        <w:rPr>
          <w:rStyle w:val="25"/>
          <w:rFonts w:hint="eastAsia"/>
        </w:rPr>
        <w:t>隔声理论概述</w:t>
      </w:r>
      <w:r>
        <w:tab/>
      </w:r>
      <w:r>
        <w:fldChar w:fldCharType="begin"/>
      </w:r>
      <w:r>
        <w:instrText xml:space="preserve"> PAGEREF _Toc131692036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"_Toc131692037" </w:instrText>
      </w:r>
      <w:r>
        <w:fldChar w:fldCharType="separate"/>
      </w:r>
      <w:r>
        <w:rPr>
          <w:rStyle w:val="25"/>
        </w:rPr>
        <w:t>4.1</w:t>
      </w:r>
      <w:r>
        <w:rPr>
          <w:rFonts w:asciiTheme="minorHAnsi" w:hAnsiTheme="minorHAnsi" w:eastAsiaTheme="minorEastAsia" w:cstheme="minorBidi"/>
          <w:sz w:val="21"/>
          <w:szCs w:val="22"/>
        </w:rPr>
        <w:tab/>
      </w:r>
      <w:r>
        <w:rPr>
          <w:rStyle w:val="25"/>
          <w:rFonts w:hint="eastAsia"/>
        </w:rPr>
        <w:t>原理概要</w:t>
      </w:r>
      <w:r>
        <w:tab/>
      </w:r>
      <w:r>
        <w:fldChar w:fldCharType="begin"/>
      </w:r>
      <w:r>
        <w:instrText xml:space="preserve"> PAGEREF _Toc131692037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"_Toc131692038" </w:instrText>
      </w:r>
      <w:r>
        <w:fldChar w:fldCharType="separate"/>
      </w:r>
      <w:r>
        <w:rPr>
          <w:rStyle w:val="25"/>
        </w:rPr>
        <w:t>4.2</w:t>
      </w:r>
      <w:r>
        <w:rPr>
          <w:rFonts w:asciiTheme="minorHAnsi" w:hAnsiTheme="minorHAnsi" w:eastAsiaTheme="minorEastAsia" w:cstheme="minorBidi"/>
          <w:sz w:val="21"/>
          <w:szCs w:val="22"/>
        </w:rPr>
        <w:tab/>
      </w:r>
      <w:r>
        <w:rPr>
          <w:rStyle w:val="25"/>
          <w:rFonts w:hint="eastAsia"/>
        </w:rPr>
        <w:t>质量定律</w:t>
      </w:r>
      <w:r>
        <w:tab/>
      </w:r>
      <w:r>
        <w:fldChar w:fldCharType="begin"/>
      </w:r>
      <w:r>
        <w:instrText xml:space="preserve"> PAGEREF _Toc131692038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"_Toc131692039" </w:instrText>
      </w:r>
      <w:r>
        <w:fldChar w:fldCharType="separate"/>
      </w:r>
      <w:r>
        <w:rPr>
          <w:rStyle w:val="25"/>
        </w:rPr>
        <w:t>4.3</w:t>
      </w:r>
      <w:r>
        <w:rPr>
          <w:rFonts w:asciiTheme="minorHAnsi" w:hAnsiTheme="minorHAnsi" w:eastAsiaTheme="minorEastAsia" w:cstheme="minorBidi"/>
          <w:sz w:val="21"/>
          <w:szCs w:val="22"/>
        </w:rPr>
        <w:tab/>
      </w:r>
      <w:r>
        <w:rPr>
          <w:rStyle w:val="25"/>
          <w:rFonts w:hint="eastAsia"/>
        </w:rPr>
        <w:t>隔声量计算经验公式</w:t>
      </w:r>
      <w:r>
        <w:tab/>
      </w:r>
      <w:r>
        <w:fldChar w:fldCharType="begin"/>
      </w:r>
      <w:r>
        <w:instrText xml:space="preserve"> PAGEREF _Toc131692039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"_Toc131692040" </w:instrText>
      </w:r>
      <w:r>
        <w:fldChar w:fldCharType="separate"/>
      </w:r>
      <w:r>
        <w:rPr>
          <w:rStyle w:val="25"/>
        </w:rPr>
        <w:t>4.4</w:t>
      </w:r>
      <w:r>
        <w:rPr>
          <w:rFonts w:asciiTheme="minorHAnsi" w:hAnsiTheme="minorHAnsi" w:eastAsiaTheme="minorEastAsia" w:cstheme="minorBidi"/>
          <w:sz w:val="21"/>
          <w:szCs w:val="22"/>
        </w:rPr>
        <w:tab/>
      </w:r>
      <w:r>
        <w:rPr>
          <w:rStyle w:val="25"/>
          <w:rFonts w:hint="eastAsia"/>
        </w:rPr>
        <w:t>单值评价量</w:t>
      </w:r>
      <w:r>
        <w:tab/>
      </w:r>
      <w:r>
        <w:fldChar w:fldCharType="begin"/>
      </w:r>
      <w:r>
        <w:instrText xml:space="preserve"> PAGEREF _Toc131692040 \h </w:instrText>
      </w:r>
      <w:r>
        <w:fldChar w:fldCharType="separate"/>
      </w:r>
      <w:r>
        <w:t>7</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"_Toc131692041" </w:instrText>
      </w:r>
      <w:r>
        <w:fldChar w:fldCharType="separate"/>
      </w:r>
      <w:r>
        <w:rPr>
          <w:rStyle w:val="25"/>
        </w:rPr>
        <w:t>4.5</w:t>
      </w:r>
      <w:r>
        <w:rPr>
          <w:rFonts w:asciiTheme="minorHAnsi" w:hAnsiTheme="minorHAnsi" w:eastAsiaTheme="minorEastAsia" w:cstheme="minorBidi"/>
          <w:sz w:val="21"/>
          <w:szCs w:val="22"/>
        </w:rPr>
        <w:tab/>
      </w:r>
      <w:r>
        <w:rPr>
          <w:rStyle w:val="25"/>
          <w:rFonts w:hint="eastAsia"/>
        </w:rPr>
        <w:t>频谱修正量</w:t>
      </w:r>
      <w:r>
        <w:tab/>
      </w:r>
      <w:r>
        <w:fldChar w:fldCharType="begin"/>
      </w:r>
      <w:r>
        <w:instrText xml:space="preserve"> PAGEREF _Toc131692041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"_Toc131692042" </w:instrText>
      </w:r>
      <w:r>
        <w:fldChar w:fldCharType="separate"/>
      </w:r>
      <w:r>
        <w:rPr>
          <w:rStyle w:val="25"/>
        </w:rPr>
        <w:t>5</w:t>
      </w:r>
      <w:r>
        <w:rPr>
          <w:rFonts w:asciiTheme="minorHAnsi" w:hAnsiTheme="minorHAnsi" w:eastAsiaTheme="minorEastAsia" w:cstheme="minorBidi"/>
          <w:b w:val="0"/>
          <w:bCs w:val="0"/>
          <w:sz w:val="21"/>
          <w:szCs w:val="22"/>
        </w:rPr>
        <w:tab/>
      </w:r>
      <w:r>
        <w:rPr>
          <w:rStyle w:val="25"/>
          <w:rFonts w:hint="eastAsia"/>
        </w:rPr>
        <w:t>构件空气声隔声性能</w:t>
      </w:r>
      <w:r>
        <w:tab/>
      </w:r>
      <w:r>
        <w:fldChar w:fldCharType="begin"/>
      </w:r>
      <w:r>
        <w:instrText xml:space="preserve"> PAGEREF _Toc131692042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"_Toc131692043" </w:instrText>
      </w:r>
      <w:r>
        <w:fldChar w:fldCharType="separate"/>
      </w:r>
      <w:r>
        <w:rPr>
          <w:rStyle w:val="25"/>
        </w:rPr>
        <w:t>5.1</w:t>
      </w:r>
      <w:r>
        <w:rPr>
          <w:rFonts w:asciiTheme="minorHAnsi" w:hAnsiTheme="minorHAnsi" w:eastAsiaTheme="minorEastAsia" w:cstheme="minorBidi"/>
          <w:sz w:val="21"/>
          <w:szCs w:val="22"/>
        </w:rPr>
        <w:tab/>
      </w:r>
      <w:r>
        <w:rPr>
          <w:rStyle w:val="25"/>
          <w:rFonts w:hint="eastAsia"/>
        </w:rPr>
        <w:t>墙板的空气声隔声量</w:t>
      </w:r>
      <w:r>
        <w:tab/>
      </w:r>
      <w:r>
        <w:fldChar w:fldCharType="begin"/>
      </w:r>
      <w:r>
        <w:instrText xml:space="preserve"> PAGEREF _Toc131692043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"_Toc131692044" </w:instrText>
      </w:r>
      <w:r>
        <w:fldChar w:fldCharType="separate"/>
      </w:r>
      <w:r>
        <w:rPr>
          <w:rStyle w:val="25"/>
        </w:rPr>
        <w:t>5.1.1</w:t>
      </w:r>
      <w:r>
        <w:rPr>
          <w:rFonts w:asciiTheme="minorHAnsi" w:hAnsiTheme="minorHAnsi" w:eastAsiaTheme="minorEastAsia" w:cstheme="minorBidi"/>
          <w:sz w:val="21"/>
          <w:szCs w:val="22"/>
        </w:rPr>
        <w:tab/>
      </w:r>
      <w:r>
        <w:rPr>
          <w:rStyle w:val="25"/>
          <w:rFonts w:hint="eastAsia"/>
        </w:rPr>
        <w:t>墙板构造做法</w:t>
      </w:r>
      <w:r>
        <w:tab/>
      </w:r>
      <w:r>
        <w:fldChar w:fldCharType="begin"/>
      </w:r>
      <w:r>
        <w:instrText xml:space="preserve"> PAGEREF _Toc131692044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"_Toc131692045" </w:instrText>
      </w:r>
      <w:r>
        <w:fldChar w:fldCharType="separate"/>
      </w:r>
      <w:r>
        <w:rPr>
          <w:rStyle w:val="25"/>
        </w:rPr>
        <w:t>5.1.2</w:t>
      </w:r>
      <w:r>
        <w:rPr>
          <w:rFonts w:asciiTheme="minorHAnsi" w:hAnsiTheme="minorHAnsi" w:eastAsiaTheme="minorEastAsia" w:cstheme="minorBidi"/>
          <w:sz w:val="21"/>
          <w:szCs w:val="22"/>
        </w:rPr>
        <w:tab/>
      </w:r>
      <w:r>
        <w:rPr>
          <w:rStyle w:val="25"/>
          <w:rFonts w:hint="eastAsia"/>
        </w:rPr>
        <w:t>墙板空气声隔声性能</w:t>
      </w:r>
      <w:r>
        <w:tab/>
      </w:r>
      <w:r>
        <w:fldChar w:fldCharType="begin"/>
      </w:r>
      <w:r>
        <w:instrText xml:space="preserve"> PAGEREF _Toc131692045 \h </w:instrText>
      </w:r>
      <w:r>
        <w:fldChar w:fldCharType="separate"/>
      </w:r>
      <w:r>
        <w:t>9</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"_Toc131692046" </w:instrText>
      </w:r>
      <w:r>
        <w:fldChar w:fldCharType="separate"/>
      </w:r>
      <w:r>
        <w:rPr>
          <w:rStyle w:val="25"/>
        </w:rPr>
        <w:t>5.2</w:t>
      </w:r>
      <w:r>
        <w:rPr>
          <w:rFonts w:asciiTheme="minorHAnsi" w:hAnsiTheme="minorHAnsi" w:eastAsiaTheme="minorEastAsia" w:cstheme="minorBidi"/>
          <w:sz w:val="21"/>
          <w:szCs w:val="22"/>
        </w:rPr>
        <w:tab/>
      </w:r>
      <w:r>
        <w:rPr>
          <w:rStyle w:val="25"/>
          <w:rFonts w:hint="eastAsia"/>
        </w:rPr>
        <w:t>门窗的空气声隔声量</w:t>
      </w:r>
      <w:r>
        <w:tab/>
      </w:r>
      <w:r>
        <w:fldChar w:fldCharType="begin"/>
      </w:r>
      <w:r>
        <w:instrText xml:space="preserve"> PAGEREF _Toc131692046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"_Toc131692047" </w:instrText>
      </w:r>
      <w:r>
        <w:fldChar w:fldCharType="separate"/>
      </w:r>
      <w:r>
        <w:rPr>
          <w:rStyle w:val="25"/>
        </w:rPr>
        <w:t>6</w:t>
      </w:r>
      <w:r>
        <w:rPr>
          <w:rFonts w:asciiTheme="minorHAnsi" w:hAnsiTheme="minorHAnsi" w:eastAsiaTheme="minorEastAsia" w:cstheme="minorBidi"/>
          <w:b w:val="0"/>
          <w:bCs w:val="0"/>
          <w:sz w:val="21"/>
          <w:szCs w:val="22"/>
        </w:rPr>
        <w:tab/>
      </w:r>
      <w:r>
        <w:rPr>
          <w:rStyle w:val="25"/>
          <w:rFonts w:hint="eastAsia"/>
        </w:rPr>
        <w:t>楼板撞击声隔声性能</w:t>
      </w:r>
      <w:r>
        <w:tab/>
      </w:r>
      <w:r>
        <w:fldChar w:fldCharType="begin"/>
      </w:r>
      <w:r>
        <w:instrText xml:space="preserve"> PAGEREF _Toc131692047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"_Toc131692048" </w:instrText>
      </w:r>
      <w:r>
        <w:fldChar w:fldCharType="separate"/>
      </w:r>
      <w:r>
        <w:rPr>
          <w:rStyle w:val="25"/>
        </w:rPr>
        <w:t>7</w:t>
      </w:r>
      <w:r>
        <w:rPr>
          <w:rFonts w:asciiTheme="minorHAnsi" w:hAnsiTheme="minorHAnsi" w:eastAsiaTheme="minorEastAsia" w:cstheme="minorBidi"/>
          <w:b w:val="0"/>
          <w:bCs w:val="0"/>
          <w:sz w:val="21"/>
          <w:szCs w:val="22"/>
        </w:rPr>
        <w:tab/>
      </w:r>
      <w:r>
        <w:rPr>
          <w:rStyle w:val="25"/>
          <w:rFonts w:hint="eastAsia"/>
        </w:rPr>
        <w:t>星级技术要求</w:t>
      </w:r>
      <w:r>
        <w:tab/>
      </w:r>
      <w:r>
        <w:fldChar w:fldCharType="begin"/>
      </w:r>
      <w:r>
        <w:instrText xml:space="preserve"> PAGEREF _Toc131692048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"_Toc131692049" </w:instrText>
      </w:r>
      <w:r>
        <w:fldChar w:fldCharType="separate"/>
      </w:r>
      <w:r>
        <w:rPr>
          <w:rStyle w:val="25"/>
        </w:rPr>
        <w:t>7.1</w:t>
      </w:r>
      <w:r>
        <w:rPr>
          <w:rFonts w:asciiTheme="minorHAnsi" w:hAnsiTheme="minorHAnsi" w:eastAsiaTheme="minorEastAsia" w:cstheme="minorBidi"/>
          <w:sz w:val="21"/>
          <w:szCs w:val="22"/>
        </w:rPr>
        <w:tab/>
      </w:r>
      <w:r>
        <w:rPr>
          <w:rStyle w:val="25"/>
          <w:rFonts w:hint="eastAsia"/>
        </w:rPr>
        <w:t>外墙</w:t>
      </w:r>
      <w:r>
        <w:rPr>
          <w:rStyle w:val="25"/>
        </w:rPr>
        <w:t>-</w:t>
      </w:r>
      <w:r>
        <w:rPr>
          <w:rStyle w:val="25"/>
          <w:rFonts w:hint="eastAsia"/>
        </w:rPr>
        <w:t>室外与卧室之间</w:t>
      </w:r>
      <w:r>
        <w:tab/>
      </w:r>
      <w:r>
        <w:fldChar w:fldCharType="begin"/>
      </w:r>
      <w:r>
        <w:instrText xml:space="preserve"> PAGEREF _Toc131692049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"_Toc131692050" </w:instrText>
      </w:r>
      <w:r>
        <w:fldChar w:fldCharType="separate"/>
      </w:r>
      <w:r>
        <w:rPr>
          <w:rStyle w:val="25"/>
        </w:rPr>
        <w:t>7.2</w:t>
      </w:r>
      <w:r>
        <w:rPr>
          <w:rFonts w:asciiTheme="minorHAnsi" w:hAnsiTheme="minorHAnsi" w:eastAsiaTheme="minorEastAsia" w:cstheme="minorBidi"/>
          <w:sz w:val="21"/>
          <w:szCs w:val="22"/>
        </w:rPr>
        <w:tab/>
      </w:r>
      <w:r>
        <w:rPr>
          <w:rStyle w:val="25"/>
          <w:rFonts w:hint="eastAsia"/>
        </w:rPr>
        <w:t>分户墙</w:t>
      </w:r>
      <w:r>
        <w:rPr>
          <w:rStyle w:val="25"/>
        </w:rPr>
        <w:t>-</w:t>
      </w:r>
      <w:r>
        <w:rPr>
          <w:rStyle w:val="25"/>
          <w:rFonts w:hint="eastAsia"/>
        </w:rPr>
        <w:t>两侧卧室之间</w:t>
      </w:r>
      <w:r>
        <w:tab/>
      </w:r>
      <w:r>
        <w:fldChar w:fldCharType="begin"/>
      </w:r>
      <w:r>
        <w:instrText xml:space="preserve"> PAGEREF _Toc131692050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"_Toc131692051" </w:instrText>
      </w:r>
      <w:r>
        <w:fldChar w:fldCharType="separate"/>
      </w:r>
      <w:r>
        <w:rPr>
          <w:rStyle w:val="25"/>
        </w:rPr>
        <w:t>8</w:t>
      </w:r>
      <w:r>
        <w:rPr>
          <w:rFonts w:asciiTheme="minorHAnsi" w:hAnsiTheme="minorHAnsi" w:eastAsiaTheme="minorEastAsia" w:cstheme="minorBidi"/>
          <w:b w:val="0"/>
          <w:bCs w:val="0"/>
          <w:sz w:val="21"/>
          <w:szCs w:val="22"/>
        </w:rPr>
        <w:tab/>
      </w:r>
      <w:r>
        <w:rPr>
          <w:rStyle w:val="25"/>
          <w:rFonts w:hint="eastAsia"/>
        </w:rPr>
        <w:t>结论</w:t>
      </w:r>
      <w:r>
        <w:tab/>
      </w:r>
      <w:r>
        <w:fldChar w:fldCharType="begin"/>
      </w:r>
      <w:r>
        <w:instrText xml:space="preserve"> PAGEREF _Toc131692051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31692033"/>
      <w:r>
        <w:rPr>
          <w:rFonts w:hint="eastAsia"/>
        </w:rPr>
        <w:t>建筑概况</w:t>
      </w:r>
      <w:bookmarkEnd w:id="11"/>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rPr>
                <w:lang w:val="en-US"/>
              </w:rPr>
            </w:pPr>
            <w:bookmarkStart w:id="12" w:name="工程名称"/>
            <w:r>
              <w:t>新建怀来县沙城镇第五小学项目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sz w:val="24"/>
                <w:vertAlign w:val="superscript"/>
                <w:lang w:val="en-US"/>
              </w:rPr>
              <w:t>2</w:t>
            </w:r>
            <w:r>
              <w:rPr>
                <w:lang w:val="en-US"/>
              </w:rPr>
              <w:t>)</w:t>
            </w:r>
          </w:p>
        </w:tc>
        <w:tc>
          <w:tcPr>
            <w:tcW w:w="6231" w:type="dxa"/>
          </w:tcPr>
          <w:p>
            <w:pPr>
              <w:pStyle w:val="3"/>
              <w:rPr>
                <w:lang w:val="en-US"/>
              </w:rPr>
            </w:pPr>
            <w:r>
              <w:rPr>
                <w:rFonts w:hint="eastAsia"/>
                <w:lang w:val="en-US"/>
              </w:rPr>
              <w:t>地上</w:t>
            </w:r>
            <w:bookmarkStart w:id="13" w:name="地上建筑面积"/>
            <w:r>
              <w:t>3437</w:t>
            </w:r>
            <w:bookmarkEnd w:id="13"/>
            <w:r>
              <w:rPr>
                <w:rFonts w:hint="eastAsia"/>
                <w:lang w:val="en-US"/>
              </w:rPr>
              <w:t xml:space="preserve">          地下</w:t>
            </w:r>
            <w:bookmarkStart w:id="14" w:name="地下建筑面积"/>
            <w:r>
              <w:t>0</w:t>
            </w:r>
            <w:bookmarkEnd w:id="14"/>
            <w:r>
              <w:rPr>
                <w:rFonts w:hint="eastAsia"/>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lang w:val="en-US"/>
              </w:rPr>
            </w:pPr>
            <w:r>
              <w:rPr>
                <w:rFonts w:hint="eastAsia"/>
                <w:lang w:val="en-US"/>
              </w:rPr>
              <w:t>地上</w:t>
            </w:r>
            <w:bookmarkStart w:id="15" w:name="地上建筑层数"/>
            <w:r>
              <w:t>5</w:t>
            </w:r>
            <w:bookmarkEnd w:id="15"/>
            <w:r>
              <w:rPr>
                <w:rFonts w:hint="eastAsia"/>
                <w:lang w:val="en-US"/>
              </w:rPr>
              <w:t xml:space="preserve">       </w:t>
            </w:r>
            <w:r>
              <w:rPr>
                <w:lang w:val="en-US"/>
              </w:rPr>
              <w:t xml:space="preserve"> </w:t>
            </w:r>
            <w:r>
              <w:rPr>
                <w:rFonts w:hint="eastAsia"/>
                <w:lang w:val="en-US"/>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rPr>
                <w:lang w:val="en-US"/>
              </w:rPr>
            </w:pPr>
            <w:r>
              <w:rPr>
                <w:rFonts w:hint="eastAsia"/>
                <w:lang w:val="en-US"/>
              </w:rPr>
              <w:t>地上</w:t>
            </w:r>
            <w:bookmarkStart w:id="17" w:name="地上建筑高度"/>
            <w:r>
              <w:t>18.3</w:t>
            </w:r>
            <w:bookmarkEnd w:id="17"/>
            <w:r>
              <w:rPr>
                <w:rFonts w:hint="eastAsia"/>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rPr>
                <w:lang w:val="en-US"/>
              </w:rPr>
            </w:pPr>
            <w:bookmarkStart w:id="18" w:name="北向角度"/>
            <w:r>
              <w:t>102</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bookmarkStart w:id="21" w:name="_Toc131692034"/>
      <w:r>
        <w:rPr>
          <w:rFonts w:hint="eastAsia"/>
        </w:rPr>
        <w:t>评价依据</w:t>
      </w:r>
      <w:bookmarkEnd w:id="21"/>
    </w:p>
    <w:p>
      <w:pPr>
        <w:pStyle w:val="3"/>
        <w:numPr>
          <w:ilvl w:val="0"/>
          <w:numId w:val="2"/>
        </w:numPr>
        <w:rPr>
          <w:lang w:val="en-US"/>
        </w:rPr>
      </w:pPr>
      <w:bookmarkStart w:id="22" w:name="标准名称1"/>
      <w:r>
        <w:t>《绿色建筑评价标准》（京津冀）DB11/T 825-2021</w:t>
      </w:r>
      <w:bookmarkEnd w:id="22"/>
    </w:p>
    <w:p>
      <w:pPr>
        <w:pStyle w:val="3"/>
        <w:numPr>
          <w:ilvl w:val="0"/>
          <w:numId w:val="2"/>
        </w:numPr>
        <w:rPr>
          <w:lang w:val="en-US"/>
        </w:rPr>
      </w:pPr>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3"/>
        <w:numPr>
          <w:ilvl w:val="0"/>
          <w:numId w:val="2"/>
        </w:numPr>
        <w:rPr>
          <w:lang w:val="en-US"/>
        </w:rPr>
      </w:pPr>
      <w:r>
        <w:rPr>
          <w:rFonts w:hint="eastAsia"/>
          <w:lang w:val="en-US"/>
        </w:rPr>
        <w:t xml:space="preserve">《民用建筑绿色性能计算标准》JGJ/T 449-2018 </w:t>
      </w:r>
    </w:p>
    <w:p>
      <w:pPr>
        <w:pStyle w:val="2"/>
        <w:ind w:left="669" w:hanging="669"/>
      </w:pPr>
      <w:bookmarkStart w:id="23" w:name="_Toc131692035"/>
      <w:r>
        <w:rPr>
          <w:rFonts w:hint="eastAsia"/>
        </w:rPr>
        <w:t>标准</w:t>
      </w:r>
      <w:r>
        <w:t>要求</w:t>
      </w:r>
      <w:bookmarkEnd w:id="23"/>
    </w:p>
    <w:p>
      <w:pPr>
        <w:pStyle w:val="3"/>
        <w:ind w:firstLine="420" w:firstLineChars="200"/>
      </w:pPr>
      <w:bookmarkStart w:id="24" w:name="标准名称3"/>
      <w:r>
        <w:rPr>
          <w:rFonts w:hint="eastAsia"/>
        </w:rPr>
        <w:t>《绿色建筑评价标准》（京津冀）DB11/T 825-2021</w:t>
      </w:r>
      <w:bookmarkEnd w:id="24"/>
      <w:r>
        <w:rPr>
          <w:rFonts w:hint="eastAsia"/>
        </w:rPr>
        <w:t>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left="360" w:leftChars="200"/>
      </w:pPr>
      <w:bookmarkStart w:id="25" w:name="室内构件隔声条文内容1"/>
      <w:bookmarkEnd w:id="25"/>
      <w:r>
        <w:t>5.2.7 主要功能房间的隔声性能良好，评价总分值为 10 分，并按下列规则分别评分并累计：</w:t>
      </w:r>
    </w:p>
    <w:p>
      <w:pPr>
        <w:pStyle w:val="3"/>
        <w:ind w:left="360" w:leftChars="200"/>
      </w:pPr>
      <w:r>
        <w:t xml:space="preserve">    1 构件及相邻房间之间的空气声隔声性能达到现行国家标准《民用建筑隔声设计规范》 GB 50118 中的低限标准限值和高要求标准限值的平均值，得3 分；达到高要求标准限值，得 5 分；</w:t>
      </w:r>
    </w:p>
    <w:p>
      <w:pPr>
        <w:pStyle w:val="3"/>
        <w:ind w:left="360" w:leftChars="200"/>
      </w:pPr>
      <w:r>
        <w:t xml:space="preserve">    2 楼板的撞击声隔声性能达到现行国家标准《民用建筑隔声设计规范》GB 50118 中的低限标准限值和高要求标准限值的平均值，得 3 分；达到高要求标准限值，得 5 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6" w:name="_Toc438716944"/>
      <w:r>
        <w:rPr>
          <w:rFonts w:hint="eastAsia"/>
          <w:bCs/>
          <w:lang w:val="en-US"/>
        </w:rPr>
        <w:t>《绿色建筑评价标准》</w:t>
      </w:r>
      <w:r>
        <w:rPr>
          <w:bCs/>
          <w:lang w:val="en-US"/>
        </w:rPr>
        <w:t>GB/T50378-2019</w:t>
      </w:r>
      <w:r>
        <w:rPr>
          <w:rFonts w:hint="eastAsia"/>
          <w:bCs/>
          <w:lang w:val="en-US"/>
        </w:rPr>
        <w:t>在3.2.8条中</w:t>
      </w:r>
      <w:r>
        <w:rPr>
          <w:bCs/>
          <w:lang w:val="en-US"/>
        </w:rPr>
        <w:t>对二星级、三星级绿色建筑（住宅建筑）的隔声性能提出了要求，</w:t>
      </w:r>
      <w:r>
        <w:rPr>
          <w:rFonts w:hint="eastAsia"/>
          <w:bCs/>
          <w:lang w:val="en-US"/>
        </w:rPr>
        <w:t>二星级以上</w:t>
      </w:r>
      <w:r>
        <w:rPr>
          <w:bCs/>
          <w:lang w:val="en-US"/>
        </w:rPr>
        <w:t>住宅建筑</w:t>
      </w:r>
      <w:r>
        <w:rPr>
          <w:rFonts w:hint="eastAsia"/>
          <w:bCs/>
          <w:lang w:val="en-US"/>
        </w:rPr>
        <w:t>需满足</w:t>
      </w:r>
      <w:r>
        <w:rPr>
          <w:bCs/>
          <w:lang w:val="en-US"/>
        </w:rPr>
        <w:t>室外与卧室之间、分户墙或分户楼板两</w:t>
      </w:r>
      <w:r>
        <w:rPr>
          <w:lang w:val="en-US"/>
        </w:rPr>
        <w:t>侧卧室之间的空气声隔声性能，以及卧室楼板的撞击声隔声性能的相关要求</w:t>
      </w:r>
      <w:r>
        <w:rPr>
          <w:rFonts w:hint="eastAsia"/>
          <w:lang w:val="en-US"/>
        </w:rPr>
        <w:t>：</w:t>
      </w:r>
    </w:p>
    <w:p>
      <w:pPr>
        <w:widowControl w:val="0"/>
        <w:contextualSpacing/>
        <w:jc w:val="center"/>
        <w:rPr>
          <w:kern w:val="2"/>
          <w:szCs w:val="21"/>
          <w:lang w:val="en-US"/>
        </w:rPr>
      </w:pPr>
      <w:r>
        <w:rPr>
          <w:rFonts w:hint="eastAsia"/>
          <w:kern w:val="2"/>
          <w:szCs w:val="21"/>
          <w:lang w:val="en-US"/>
        </w:rPr>
        <w:t>表3.1</w:t>
      </w:r>
      <w:r>
        <w:rPr>
          <w:kern w:val="2"/>
          <w:szCs w:val="21"/>
          <w:lang w:val="en-US"/>
        </w:rPr>
        <w:t xml:space="preserve"> </w:t>
      </w:r>
      <w:r>
        <w:rPr>
          <w:rFonts w:hint="eastAsia"/>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隔声性能</w:t>
            </w:r>
          </w:p>
        </w:tc>
        <w:tc>
          <w:tcPr>
            <w:tcW w:w="2835"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构件</w:t>
            </w:r>
          </w:p>
        </w:tc>
        <w:tc>
          <w:tcPr>
            <w:tcW w:w="224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二星级要求</w:t>
            </w:r>
          </w:p>
        </w:tc>
        <w:tc>
          <w:tcPr>
            <w:tcW w:w="209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空气声</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sz w:val="20"/>
              </w:rPr>
              <w:t>D</w:t>
            </w:r>
            <w:r>
              <w:rPr>
                <w:sz w:val="20"/>
                <w:vertAlign w:val="subscript"/>
              </w:rPr>
              <w:t>nT,w</w:t>
            </w:r>
            <w:r>
              <w:rPr>
                <w:sz w:val="20"/>
              </w:rPr>
              <w:t>+ C</w:t>
            </w:r>
            <w:r>
              <w:rPr>
                <w:sz w:val="20"/>
                <w:vertAlign w:val="subscript"/>
              </w:rPr>
              <w:t>tr</w:t>
            </w:r>
            <w:r>
              <w:rPr>
                <w:sz w:val="20"/>
              </w:rPr>
              <w:t xml:space="preserve"> ≥35 </w:t>
            </w:r>
            <w:r>
              <w:rPr>
                <w:rFonts w:hint="eastAsia"/>
                <w:sz w:val="20"/>
              </w:rPr>
              <w:t>d</w:t>
            </w:r>
            <w:r>
              <w:rPr>
                <w:sz w:val="20"/>
              </w:rPr>
              <w:t>B</w:t>
            </w:r>
          </w:p>
        </w:tc>
        <w:tc>
          <w:tcPr>
            <w:tcW w:w="2097" w:type="dxa"/>
            <w:vAlign w:val="center"/>
          </w:tcPr>
          <w:p>
            <w:pPr>
              <w:spacing w:before="25" w:after="25"/>
              <w:jc w:val="center"/>
              <w:rPr>
                <w:sz w:val="20"/>
              </w:rPr>
            </w:pPr>
            <w:r>
              <w:rPr>
                <w:sz w:val="20"/>
              </w:rPr>
              <w:t>D</w:t>
            </w:r>
            <w:r>
              <w:rPr>
                <w:sz w:val="20"/>
                <w:vertAlign w:val="subscript"/>
              </w:rPr>
              <w:t>nT,w</w:t>
            </w:r>
            <w:r>
              <w:rPr>
                <w:sz w:val="20"/>
              </w:rPr>
              <w:t>+ C</w:t>
            </w:r>
            <w:r>
              <w:rPr>
                <w:sz w:val="20"/>
                <w:vertAlign w:val="subscript"/>
              </w:rPr>
              <w:t>tr</w:t>
            </w:r>
            <w:r>
              <w:rPr>
                <w:sz w:val="20"/>
              </w:rPr>
              <w:t xml:space="preserve">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D8D8D8" w:themeFill="background1" w:themeFillShade="D9"/>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sz w:val="20"/>
              </w:rPr>
              <w:t>D</w:t>
            </w:r>
            <w:r>
              <w:rPr>
                <w:sz w:val="20"/>
                <w:vertAlign w:val="subscript"/>
              </w:rPr>
              <w:t>nT,w</w:t>
            </w:r>
            <w:r>
              <w:rPr>
                <w:sz w:val="20"/>
              </w:rPr>
              <w:t xml:space="preserve">+C ≥47.5 </w:t>
            </w:r>
            <w:r>
              <w:rPr>
                <w:rFonts w:hint="eastAsia"/>
                <w:sz w:val="20"/>
              </w:rPr>
              <w:t>d</w:t>
            </w:r>
            <w:r>
              <w:rPr>
                <w:sz w:val="20"/>
              </w:rPr>
              <w:t>B</w:t>
            </w:r>
          </w:p>
        </w:tc>
        <w:tc>
          <w:tcPr>
            <w:tcW w:w="2097" w:type="dxa"/>
            <w:vAlign w:val="center"/>
          </w:tcPr>
          <w:p>
            <w:pPr>
              <w:spacing w:before="25" w:after="25"/>
              <w:jc w:val="center"/>
              <w:rPr>
                <w:sz w:val="20"/>
              </w:rPr>
            </w:pPr>
            <w:r>
              <w:rPr>
                <w:sz w:val="20"/>
              </w:rPr>
              <w:t>D</w:t>
            </w:r>
            <w:r>
              <w:rPr>
                <w:sz w:val="20"/>
                <w:vertAlign w:val="subscript"/>
              </w:rPr>
              <w:t>nT,w</w:t>
            </w:r>
            <w:r>
              <w:rPr>
                <w:sz w:val="20"/>
              </w:rPr>
              <w:t xml:space="preserve">+C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撞击声</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sz w:val="20"/>
              </w:rPr>
              <w:t>L</w:t>
            </w:r>
            <w:r>
              <w:rPr>
                <w:sz w:val="20"/>
                <w:vertAlign w:val="superscript"/>
              </w:rPr>
              <w:t>’</w:t>
            </w:r>
            <w:r>
              <w:rPr>
                <w:sz w:val="20"/>
                <w:vertAlign w:val="subscript"/>
              </w:rPr>
              <w:t>nT,w</w:t>
            </w:r>
            <w:r>
              <w:rPr>
                <w:sz w:val="20"/>
              </w:rPr>
              <w:t xml:space="preserve"> ≤70 </w:t>
            </w:r>
            <w:r>
              <w:rPr>
                <w:rFonts w:hint="eastAsia"/>
                <w:sz w:val="20"/>
              </w:rPr>
              <w:t>d</w:t>
            </w:r>
            <w:r>
              <w:rPr>
                <w:sz w:val="20"/>
              </w:rPr>
              <w:t>B</w:t>
            </w:r>
          </w:p>
        </w:tc>
        <w:tc>
          <w:tcPr>
            <w:tcW w:w="2097" w:type="dxa"/>
            <w:vAlign w:val="center"/>
          </w:tcPr>
          <w:p>
            <w:pPr>
              <w:spacing w:before="25" w:after="25"/>
              <w:jc w:val="center"/>
              <w:rPr>
                <w:sz w:val="20"/>
              </w:rPr>
            </w:pPr>
            <w:r>
              <w:rPr>
                <w:sz w:val="20"/>
              </w:rPr>
              <w:t>L</w:t>
            </w:r>
            <w:r>
              <w:rPr>
                <w:sz w:val="20"/>
                <w:vertAlign w:val="superscript"/>
              </w:rPr>
              <w:t>’</w:t>
            </w:r>
            <w:r>
              <w:rPr>
                <w:sz w:val="20"/>
                <w:vertAlign w:val="subscript"/>
              </w:rPr>
              <w:t xml:space="preserve">nT,w </w:t>
            </w:r>
            <w:r>
              <w:rPr>
                <w:sz w:val="20"/>
              </w:rPr>
              <w:t xml:space="preserve">≤65 </w:t>
            </w:r>
            <w:r>
              <w:rPr>
                <w:rFonts w:hint="eastAsia"/>
                <w:sz w:val="20"/>
              </w:rPr>
              <w:t>d</w:t>
            </w:r>
            <w:r>
              <w:rPr>
                <w:sz w:val="20"/>
              </w:rPr>
              <w:t>B</w:t>
            </w:r>
          </w:p>
        </w:tc>
      </w:tr>
    </w:tbl>
    <w:p>
      <w:pPr>
        <w:pStyle w:val="3"/>
        <w:ind w:left="360" w:leftChars="200" w:firstLine="420" w:firstLineChars="200"/>
      </w:pPr>
      <w:r>
        <w:rPr>
          <w:rFonts w:hint="eastAsia"/>
          <w:lang w:val="en-US"/>
        </w:rPr>
        <w:t>条文说明以及《绿色建筑评价标准技术细则》中指出</w:t>
      </w:r>
      <w:r>
        <w:rPr>
          <w:lang w:val="en-US"/>
        </w:rPr>
        <w:t>预评价时室外和卧室之间的隔声性能通</w:t>
      </w:r>
      <w:r>
        <w:t>过外窗和外墙的隔声性能</w:t>
      </w:r>
      <w:r>
        <w:rPr>
          <w:rFonts w:hint="eastAsia"/>
        </w:rPr>
        <w:t>，</w:t>
      </w:r>
      <w:r>
        <w:t>按组合隔声量的理论进行预测。</w:t>
      </w:r>
    </w:p>
    <w:p>
      <w:pPr>
        <w:pStyle w:val="2"/>
        <w:ind w:left="669" w:hanging="669"/>
        <w:rPr>
          <w:kern w:val="2"/>
        </w:rPr>
      </w:pPr>
      <w:bookmarkStart w:id="27" w:name="_Toc131692036"/>
      <w:r>
        <w:rPr>
          <w:rFonts w:hint="eastAsia"/>
          <w:kern w:val="2"/>
        </w:rPr>
        <w:t>隔声理论概述</w:t>
      </w:r>
      <w:bookmarkEnd w:id="27"/>
    </w:p>
    <w:p>
      <w:pPr>
        <w:pStyle w:val="3"/>
        <w:tabs>
          <w:tab w:val="right" w:pos="9070"/>
        </w:tabs>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r>
        <w:tab/>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8" w:name="_Toc131692037"/>
      <w:r>
        <w:rPr>
          <w:rFonts w:hint="eastAsia"/>
        </w:rPr>
        <w:t>原理概要</w:t>
      </w:r>
      <w:bookmarkEnd w:id="28"/>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5pt;width:54.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9" w:name="_Toc503800668"/>
      <w:bookmarkStart w:id="30" w:name="_Toc131692038"/>
      <w:bookmarkStart w:id="31" w:name="_Toc503275877"/>
      <w:bookmarkStart w:id="32" w:name="_Toc503800603"/>
      <w:r>
        <w:rPr>
          <w:rFonts w:hint="eastAsia"/>
        </w:rPr>
        <w:t>质量定律</w:t>
      </w:r>
      <w:bookmarkEnd w:id="29"/>
      <w:bookmarkEnd w:id="30"/>
      <w:bookmarkEnd w:id="31"/>
      <w:bookmarkEnd w:id="32"/>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39.7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3" w:name="_Toc131692039"/>
      <w:r>
        <w:t>隔声</w:t>
      </w:r>
      <w:r>
        <w:rPr>
          <w:rFonts w:hint="eastAsia"/>
        </w:rPr>
        <w:t>量计算经验</w:t>
      </w:r>
      <w:r>
        <w:t>公式</w:t>
      </w:r>
      <w:bookmarkEnd w:id="33"/>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086100" cy="473075"/>
            <wp:effectExtent l="0" t="0" r="0" b="317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stretch>
                      <a:fillRect/>
                    </a:stretch>
                  </pic:blipFill>
                  <pic:spPr>
                    <a:xfrm>
                      <a:off x="0" y="0"/>
                      <a:ext cx="3086100" cy="473075"/>
                    </a:xfrm>
                    <a:prstGeom prst="rect">
                      <a:avLst/>
                    </a:prstGeom>
                  </pic:spPr>
                </pic:pic>
              </a:graphicData>
            </a:graphic>
          </wp:inline>
        </w:drawing>
      </w:r>
    </w:p>
    <w:p>
      <w:pPr>
        <w:pStyle w:val="3"/>
        <w:ind w:firstLine="420" w:firstLineChars="200"/>
        <w:jc w:val="center"/>
      </w:pPr>
      <w:r>
        <w:rPr>
          <w:lang w:val="en-US"/>
        </w:rPr>
        <w:drawing>
          <wp:inline distT="0" distB="0" distL="0" distR="0">
            <wp:extent cx="3811270" cy="32099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40085" cy="3234045"/>
                    </a:xfrm>
                    <a:prstGeom prst="rect">
                      <a:avLst/>
                    </a:prstGeom>
                  </pic:spPr>
                </pic:pic>
              </a:graphicData>
            </a:graphic>
          </wp:inline>
        </w:drawing>
      </w:r>
    </w:p>
    <w:p>
      <w:pPr>
        <w:jc w:val="center"/>
        <w:rPr>
          <w:lang w:val="en-US"/>
        </w:rPr>
      </w:pPr>
      <w:r>
        <w:rPr>
          <w:rFonts w:hint="eastAsia"/>
          <w:lang w:val="en-US"/>
        </w:rPr>
        <w:t>图4-5构件500</w:t>
      </w:r>
      <w:r>
        <w:rPr>
          <w:lang w:val="en-US"/>
        </w:rPr>
        <w:t>H</w:t>
      </w:r>
      <w:r>
        <w:rPr>
          <w:rFonts w:hint="eastAsia"/>
          <w:lang w:val="en-US"/>
        </w:rPr>
        <w:t>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4" w:name="_Toc131692040"/>
      <w:r>
        <w:rPr>
          <w:rFonts w:hint="eastAsia"/>
        </w:rPr>
        <w:t>单值评价量</w:t>
      </w:r>
      <w:bookmarkEnd w:id="34"/>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rPr>
        <w:t>计权隔声量是表征构件空气声隔声性能的单值评价量，满足不利偏差Pi要求的最大值即为空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rPr>
        <w:t>计权规范化撞击声压级是表征构件撞击声隔声性能的单值评价量，满足不利偏差要求的最小值再减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7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5" w:name="_Toc131692041"/>
      <w:r>
        <w:rPr>
          <w:rFonts w:hint="eastAsia"/>
        </w:rPr>
        <w:t>频谱修正量</w:t>
      </w:r>
      <w:bookmarkEnd w:id="35"/>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6" w:name="_Toc131692042"/>
      <w:r>
        <w:rPr>
          <w:rFonts w:hint="eastAsia"/>
        </w:rPr>
        <w:t>构件空气声隔声性能</w:t>
      </w:r>
      <w:bookmarkEnd w:id="36"/>
    </w:p>
    <w:p>
      <w:pPr>
        <w:pStyle w:val="4"/>
      </w:pPr>
      <w:bookmarkStart w:id="37" w:name="_Toc131692043"/>
      <w:r>
        <w:rPr>
          <w:rFonts w:hint="eastAsia"/>
        </w:rPr>
        <w:t>墙板的空气声隔声量</w:t>
      </w:r>
      <w:bookmarkEnd w:id="37"/>
    </w:p>
    <w:p>
      <w:pPr>
        <w:pStyle w:val="5"/>
      </w:pPr>
      <w:bookmarkStart w:id="38" w:name="_Toc131692044"/>
      <w:r>
        <w:rPr>
          <w:rFonts w:hint="eastAsia"/>
        </w:rPr>
        <w:t>墙板构造做法</w:t>
      </w:r>
      <w:bookmarkEnd w:id="38"/>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265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FQ-1复合保温砌块</w:t>
            </w:r>
          </w:p>
        </w:tc>
        <w:tc>
          <w:tcPr>
            <w:tcW w:w="990" w:type="dxa"/>
            <w:vAlign w:val="center"/>
          </w:tcPr>
          <w:p>
            <w:pPr>
              <w:jc w:val="center"/>
            </w:pPr>
            <w:r>
              <w:t>250</w:t>
            </w:r>
          </w:p>
        </w:tc>
        <w:tc>
          <w:tcPr>
            <w:tcW w:w="990" w:type="dxa"/>
            <w:vAlign w:val="center"/>
          </w:tcPr>
          <w:p>
            <w:pPr>
              <w:jc w:val="center"/>
            </w:pPr>
            <w:r>
              <w:t>850</w:t>
            </w:r>
          </w:p>
        </w:tc>
        <w:tc>
          <w:tcPr>
            <w:tcW w:w="990" w:type="dxa"/>
            <w:vAlign w:val="center"/>
          </w:tcPr>
          <w:p>
            <w:pPr>
              <w:jc w:val="center"/>
            </w:pPr>
            <w:r>
              <w:t>213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10</w:t>
            </w:r>
          </w:p>
        </w:tc>
        <w:tc>
          <w:tcPr>
            <w:tcW w:w="990" w:type="dxa"/>
            <w:vAlign w:val="center"/>
          </w:tcPr>
          <w:p>
            <w:pPr>
              <w:jc w:val="center"/>
            </w:pPr>
            <w:r>
              <w:t>1600</w:t>
            </w:r>
          </w:p>
        </w:tc>
        <w:tc>
          <w:tcPr>
            <w:tcW w:w="990" w:type="dxa"/>
            <w:vAlign w:val="center"/>
          </w:tcPr>
          <w:p>
            <w:pPr>
              <w:jc w:val="center"/>
            </w:pPr>
            <w:r>
              <w:t>16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隔墙1</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加气混凝土砌块</w:t>
            </w:r>
          </w:p>
        </w:tc>
        <w:tc>
          <w:tcPr>
            <w:tcW w:w="990" w:type="dxa"/>
            <w:vAlign w:val="center"/>
          </w:tcPr>
          <w:p>
            <w:pPr>
              <w:jc w:val="center"/>
            </w:pPr>
            <w:r>
              <w:t>200</w:t>
            </w:r>
          </w:p>
        </w:tc>
        <w:tc>
          <w:tcPr>
            <w:tcW w:w="990" w:type="dxa"/>
            <w:vAlign w:val="center"/>
          </w:tcPr>
          <w:p>
            <w:pPr>
              <w:jc w:val="center"/>
            </w:pPr>
            <w:r>
              <w:t>700</w:t>
            </w:r>
          </w:p>
        </w:tc>
        <w:tc>
          <w:tcPr>
            <w:tcW w:w="990" w:type="dxa"/>
            <w:vAlign w:val="center"/>
          </w:tcPr>
          <w:p>
            <w:pPr>
              <w:jc w:val="center"/>
            </w:pPr>
            <w:r>
              <w:t>140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r>
              <w:t>隔墙2</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加气混凝土砌块</w:t>
            </w:r>
          </w:p>
        </w:tc>
        <w:tc>
          <w:tcPr>
            <w:tcW w:w="990" w:type="dxa"/>
            <w:vAlign w:val="center"/>
          </w:tcPr>
          <w:p>
            <w:pPr>
              <w:jc w:val="center"/>
            </w:pPr>
            <w:r>
              <w:t>200</w:t>
            </w:r>
          </w:p>
        </w:tc>
        <w:tc>
          <w:tcPr>
            <w:tcW w:w="990" w:type="dxa"/>
            <w:vAlign w:val="center"/>
          </w:tcPr>
          <w:p>
            <w:pPr>
              <w:jc w:val="center"/>
            </w:pPr>
            <w:r>
              <w:t>700</w:t>
            </w:r>
          </w:p>
        </w:tc>
        <w:tc>
          <w:tcPr>
            <w:tcW w:w="990" w:type="dxa"/>
            <w:vAlign w:val="center"/>
          </w:tcPr>
          <w:p>
            <w:pPr>
              <w:jc w:val="center"/>
            </w:pPr>
            <w:r>
              <w:t>140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细石混凝土（双向配筋）</w:t>
            </w:r>
          </w:p>
        </w:tc>
        <w:tc>
          <w:tcPr>
            <w:tcW w:w="990" w:type="dxa"/>
            <w:vAlign w:val="center"/>
          </w:tcPr>
          <w:p>
            <w:pPr>
              <w:jc w:val="center"/>
            </w:pPr>
            <w:r>
              <w:t>50</w:t>
            </w:r>
          </w:p>
        </w:tc>
        <w:tc>
          <w:tcPr>
            <w:tcW w:w="990" w:type="dxa"/>
            <w:vAlign w:val="center"/>
          </w:tcPr>
          <w:p>
            <w:pPr>
              <w:jc w:val="center"/>
            </w:pPr>
            <w:r>
              <w:t>2500</w:t>
            </w:r>
          </w:p>
        </w:tc>
        <w:tc>
          <w:tcPr>
            <w:tcW w:w="990" w:type="dxa"/>
            <w:vAlign w:val="center"/>
          </w:tcPr>
          <w:p>
            <w:pPr>
              <w:jc w:val="center"/>
            </w:pPr>
            <w:r>
              <w:t>125</w:t>
            </w:r>
          </w:p>
        </w:tc>
        <w:tc>
          <w:tcPr>
            <w:tcW w:w="1126" w:type="dxa"/>
            <w:vMerge w:val="restart"/>
            <w:vAlign w:val="center"/>
          </w:tcPr>
          <w:p>
            <w:pPr>
              <w:jc w:val="center"/>
            </w:pPr>
            <w:r>
              <w:t>512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干拌复合轻集料混凝土垫层</w:t>
            </w:r>
            <w:r>
              <w:tab/>
            </w:r>
            <w:r>
              <w:t>A型</w:t>
            </w:r>
          </w:p>
        </w:tc>
        <w:tc>
          <w:tcPr>
            <w:tcW w:w="990" w:type="dxa"/>
            <w:vAlign w:val="center"/>
          </w:tcPr>
          <w:p>
            <w:pPr>
              <w:jc w:val="center"/>
            </w:pPr>
            <w:r>
              <w:t>50</w:t>
            </w:r>
          </w:p>
        </w:tc>
        <w:tc>
          <w:tcPr>
            <w:tcW w:w="990" w:type="dxa"/>
            <w:vAlign w:val="center"/>
          </w:tcPr>
          <w:p>
            <w:pPr>
              <w:jc w:val="center"/>
            </w:pPr>
            <w:r>
              <w:t>600</w:t>
            </w:r>
          </w:p>
        </w:tc>
        <w:tc>
          <w:tcPr>
            <w:tcW w:w="990" w:type="dxa"/>
            <w:vAlign w:val="center"/>
          </w:tcPr>
          <w:p>
            <w:pPr>
              <w:jc w:val="center"/>
            </w:pPr>
            <w:r>
              <w:t>30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w:t>
            </w:r>
          </w:p>
        </w:tc>
        <w:tc>
          <w:tcPr>
            <w:tcW w:w="990" w:type="dxa"/>
            <w:vAlign w:val="center"/>
          </w:tcPr>
          <w:p>
            <w:pPr>
              <w:jc w:val="center"/>
            </w:pPr>
            <w:r>
              <w:t>150</w:t>
            </w:r>
          </w:p>
        </w:tc>
        <w:tc>
          <w:tcPr>
            <w:tcW w:w="990" w:type="dxa"/>
            <w:vAlign w:val="center"/>
          </w:tcPr>
          <w:p>
            <w:pPr>
              <w:jc w:val="center"/>
            </w:pPr>
            <w:r>
              <w:t>30</w:t>
            </w:r>
          </w:p>
        </w:tc>
        <w:tc>
          <w:tcPr>
            <w:tcW w:w="990" w:type="dxa"/>
            <w:vAlign w:val="center"/>
          </w:tcPr>
          <w:p>
            <w:pPr>
              <w:jc w:val="center"/>
            </w:pPr>
            <w:r>
              <w:t>5</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10</w:t>
            </w:r>
          </w:p>
        </w:tc>
        <w:tc>
          <w:tcPr>
            <w:tcW w:w="990" w:type="dxa"/>
            <w:vAlign w:val="center"/>
          </w:tcPr>
          <w:p>
            <w:pPr>
              <w:jc w:val="center"/>
            </w:pPr>
            <w:r>
              <w:t>1600</w:t>
            </w:r>
          </w:p>
        </w:tc>
        <w:tc>
          <w:tcPr>
            <w:tcW w:w="990" w:type="dxa"/>
            <w:vAlign w:val="center"/>
          </w:tcPr>
          <w:p>
            <w:pPr>
              <w:jc w:val="center"/>
            </w:pPr>
            <w:r>
              <w:t>16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楼板</w:t>
            </w:r>
          </w:p>
        </w:tc>
        <w:tc>
          <w:tcPr>
            <w:tcW w:w="3537" w:type="dxa"/>
            <w:vAlign w:val="center"/>
          </w:tcPr>
          <w:p>
            <w:r>
              <w:t>水泥砂浆</w:t>
            </w:r>
          </w:p>
        </w:tc>
        <w:tc>
          <w:tcPr>
            <w:tcW w:w="990" w:type="dxa"/>
            <w:vAlign w:val="center"/>
          </w:tcPr>
          <w:p>
            <w:pPr>
              <w:jc w:val="center"/>
            </w:pPr>
            <w:r>
              <w:t>10</w:t>
            </w:r>
          </w:p>
        </w:tc>
        <w:tc>
          <w:tcPr>
            <w:tcW w:w="990" w:type="dxa"/>
            <w:vAlign w:val="center"/>
          </w:tcPr>
          <w:p>
            <w:pPr>
              <w:jc w:val="center"/>
            </w:pPr>
            <w:r>
              <w:t>1800</w:t>
            </w:r>
          </w:p>
        </w:tc>
        <w:tc>
          <w:tcPr>
            <w:tcW w:w="990" w:type="dxa"/>
            <w:vAlign w:val="center"/>
          </w:tcPr>
          <w:p>
            <w:pPr>
              <w:jc w:val="center"/>
            </w:pPr>
            <w:r>
              <w:t>18</w:t>
            </w:r>
          </w:p>
        </w:tc>
        <w:tc>
          <w:tcPr>
            <w:tcW w:w="1126" w:type="dxa"/>
            <w:vMerge w:val="restart"/>
            <w:vAlign w:val="center"/>
          </w:tcPr>
          <w:p>
            <w:pPr>
              <w:jc w:val="center"/>
            </w:pPr>
            <w:r>
              <w:t>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w:t>
            </w:r>
          </w:p>
        </w:tc>
        <w:tc>
          <w:tcPr>
            <w:tcW w:w="990" w:type="dxa"/>
            <w:vAlign w:val="center"/>
          </w:tcPr>
          <w:p>
            <w:pPr>
              <w:jc w:val="center"/>
            </w:pPr>
            <w:r>
              <w:t>20</w:t>
            </w:r>
          </w:p>
        </w:tc>
        <w:tc>
          <w:tcPr>
            <w:tcW w:w="990" w:type="dxa"/>
            <w:vAlign w:val="center"/>
          </w:tcPr>
          <w:p>
            <w:pPr>
              <w:jc w:val="center"/>
            </w:pPr>
            <w:r>
              <w:t>30</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10</w:t>
            </w:r>
          </w:p>
        </w:tc>
        <w:tc>
          <w:tcPr>
            <w:tcW w:w="990" w:type="dxa"/>
            <w:vAlign w:val="center"/>
          </w:tcPr>
          <w:p>
            <w:pPr>
              <w:jc w:val="center"/>
            </w:pPr>
            <w:r>
              <w:t>1600</w:t>
            </w:r>
          </w:p>
        </w:tc>
        <w:tc>
          <w:tcPr>
            <w:tcW w:w="990" w:type="dxa"/>
            <w:vAlign w:val="center"/>
          </w:tcPr>
          <w:p>
            <w:pPr>
              <w:jc w:val="center"/>
            </w:pPr>
            <w:r>
              <w:t>16</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9" w:name="围护结构材料清单"/>
      <w:bookmarkEnd w:id="39"/>
    </w:p>
    <w:p>
      <w:pPr>
        <w:pStyle w:val="5"/>
      </w:pPr>
      <w:bookmarkStart w:id="40" w:name="_Toc131692045"/>
      <w:r>
        <w:rPr>
          <w:rFonts w:hint="eastAsia"/>
        </w:rPr>
        <w:t>墙板空气声隔声性能</w:t>
      </w:r>
      <w:bookmarkEnd w:id="40"/>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jc w:val="center"/>
        <w:rPr>
          <w:lang w:val="en-US"/>
        </w:rPr>
      </w:pPr>
      <w:r>
        <w:rPr>
          <w:i/>
          <w:lang w:val="en-US"/>
        </w:rPr>
        <w:t>R</w:t>
      </w:r>
      <w:r>
        <w:rPr>
          <w:lang w:val="en-US"/>
        </w:rPr>
        <w:t>=</w:t>
      </w:r>
      <w:bookmarkStart w:id="41" w:name="公式A1"/>
      <w:r>
        <w:t>23</w:t>
      </w:r>
      <w:bookmarkEnd w:id="41"/>
      <w:r>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Pr>
          <w:rFonts w:hint="eastAsia"/>
          <w:i/>
          <w:lang w:val="en-US"/>
        </w:rPr>
        <w:t>lg</w:t>
      </w:r>
      <w:r>
        <w:rPr>
          <w:i/>
          <w:lang w:val="en-US"/>
        </w:rPr>
        <w:t xml:space="preserve"> </w:t>
      </w:r>
      <w:r>
        <w:rPr>
          <w:rFonts w:hint="eastAsia"/>
          <w:lang w:val="en-US"/>
        </w:rPr>
        <w:t>f</w:t>
      </w:r>
      <w:bookmarkStart w:id="43" w:name="公式C1"/>
      <w:r>
        <w:t>-41</w:t>
      </w:r>
      <w:bookmarkEnd w:id="43"/>
      <w:r>
        <w:rPr>
          <w:lang w:val="en-US"/>
        </w:rPr>
        <w:t xml:space="preserve">      （m</w:t>
      </w:r>
      <w:r>
        <w:rPr>
          <w:rFonts w:cs="宋体"/>
          <w:lang w:val="en-US"/>
        </w:rPr>
        <w:t>≥200kg/m</w:t>
      </w:r>
      <w:r>
        <w:rPr>
          <w:rFonts w:cs="宋体"/>
          <w:vertAlign w:val="superscript"/>
          <w:lang w:val="en-US"/>
        </w:rPr>
        <w:t>2</w:t>
      </w:r>
      <w:r>
        <w:rPr>
          <w:lang w:val="en-US"/>
        </w:rPr>
        <w:t>）</w:t>
      </w:r>
    </w:p>
    <w:p>
      <w:pPr>
        <w:pStyle w:val="3"/>
        <w:jc w:val="center"/>
        <w:rPr>
          <w:lang w:val="en-US"/>
        </w:rPr>
      </w:pPr>
      <w:r>
        <w:rPr>
          <w:i/>
          <w:lang w:val="en-US"/>
        </w:rPr>
        <w:t>R</w:t>
      </w:r>
      <w:r>
        <w:rPr>
          <w:lang w:val="en-US"/>
        </w:rPr>
        <w:t>=</w:t>
      </w:r>
      <w:bookmarkStart w:id="44" w:name="公式A2"/>
      <w:r>
        <w:t>13</w:t>
      </w:r>
      <w:bookmarkEnd w:id="44"/>
      <w:r>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Pr>
          <w:rFonts w:hint="eastAsia"/>
          <w:i/>
          <w:lang w:val="en-US"/>
        </w:rPr>
        <w:t>lg</w:t>
      </w:r>
      <w:r>
        <w:rPr>
          <w:i/>
          <w:lang w:val="en-US"/>
        </w:rPr>
        <w:t xml:space="preserve"> </w:t>
      </w:r>
      <w:r>
        <w:rPr>
          <w:rFonts w:hint="eastAsia"/>
          <w:lang w:val="en-US"/>
        </w:rPr>
        <w:t>f</w:t>
      </w:r>
      <w:bookmarkStart w:id="46" w:name="公式C2"/>
      <w:r>
        <w:t>-18</w:t>
      </w:r>
      <w:bookmarkEnd w:id="46"/>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r>
              <w:t>构件</w:t>
            </w:r>
          </w:p>
        </w:tc>
        <w:tc>
          <w:tcPr>
            <w:tcW w:w="7183"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卧室墙</w:t>
            </w:r>
          </w:p>
        </w:tc>
        <w:tc>
          <w:tcPr>
            <w:tcW w:w="1528" w:type="dxa"/>
            <w:shd w:val="clear" w:color="auto" w:fill="E6E6E6"/>
            <w:vAlign w:val="center"/>
          </w:tcPr>
          <w:p>
            <w:r>
              <w:t>构造做法</w:t>
            </w:r>
          </w:p>
        </w:tc>
        <w:tc>
          <w:tcPr>
            <w:tcW w:w="5655" w:type="dxa"/>
            <w:gridSpan w:val="5"/>
            <w:vAlign w:val="center"/>
          </w:tcPr>
          <w:p>
            <w:r>
              <w:t>水泥砂浆 20mm＋加气混凝土砌块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蒸压加气混凝土条板(150厚双面抹灰)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卧室外墙</w:t>
            </w:r>
          </w:p>
        </w:tc>
        <w:tc>
          <w:tcPr>
            <w:tcW w:w="1528" w:type="dxa"/>
            <w:shd w:val="clear" w:color="auto" w:fill="E6E6E6"/>
            <w:vAlign w:val="center"/>
          </w:tcPr>
          <w:p>
            <w:r>
              <w:t>构造做法</w:t>
            </w:r>
          </w:p>
        </w:tc>
        <w:tc>
          <w:tcPr>
            <w:tcW w:w="5655" w:type="dxa"/>
            <w:gridSpan w:val="5"/>
            <w:vAlign w:val="center"/>
          </w:tcPr>
          <w:p>
            <w:r>
              <w:t>水泥砂浆 20mm＋FQ-1复合保温砌块 250mm＋石灰砂浆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265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37.8</w:t>
            </w:r>
          </w:p>
        </w:tc>
        <w:tc>
          <w:tcPr>
            <w:tcW w:w="1131" w:type="dxa"/>
            <w:vAlign w:val="center"/>
          </w:tcPr>
          <w:p>
            <w:r>
              <w:t>41.1</w:t>
            </w:r>
          </w:p>
        </w:tc>
        <w:tc>
          <w:tcPr>
            <w:tcW w:w="1131" w:type="dxa"/>
            <w:vAlign w:val="center"/>
          </w:tcPr>
          <w:p>
            <w:r>
              <w:t>44.4</w:t>
            </w:r>
          </w:p>
        </w:tc>
        <w:tc>
          <w:tcPr>
            <w:tcW w:w="1131" w:type="dxa"/>
            <w:vAlign w:val="center"/>
          </w:tcPr>
          <w:p>
            <w:r>
              <w:t>47.7</w:t>
            </w:r>
          </w:p>
        </w:tc>
        <w:tc>
          <w:tcPr>
            <w:tcW w:w="1131"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3.6</w:t>
            </w:r>
          </w:p>
        </w:tc>
        <w:tc>
          <w:tcPr>
            <w:tcW w:w="1131" w:type="dxa"/>
            <w:vAlign w:val="center"/>
          </w:tcPr>
          <w:p>
            <w:r>
              <w:t>3.3</w:t>
            </w:r>
          </w:p>
        </w:tc>
        <w:tc>
          <w:tcPr>
            <w:tcW w:w="1131"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分户墙</w:t>
            </w:r>
          </w:p>
        </w:tc>
        <w:tc>
          <w:tcPr>
            <w:tcW w:w="1528" w:type="dxa"/>
            <w:shd w:val="clear" w:color="auto" w:fill="E6E6E6"/>
            <w:vAlign w:val="center"/>
          </w:tcPr>
          <w:p>
            <w:r>
              <w:t>构造做法</w:t>
            </w:r>
          </w:p>
        </w:tc>
        <w:tc>
          <w:tcPr>
            <w:tcW w:w="5655" w:type="dxa"/>
            <w:gridSpan w:val="5"/>
            <w:vAlign w:val="center"/>
          </w:tcPr>
          <w:p>
            <w:r>
              <w:t>水泥砂浆 20mm＋加气混凝土砌块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蒸压加气混凝土条板(150厚双面抹灰)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分户楼板</w:t>
            </w:r>
          </w:p>
        </w:tc>
        <w:tc>
          <w:tcPr>
            <w:tcW w:w="1528" w:type="dxa"/>
            <w:shd w:val="clear" w:color="auto" w:fill="E6E6E6"/>
            <w:vAlign w:val="center"/>
          </w:tcPr>
          <w:p>
            <w:r>
              <w:t>构造做法</w:t>
            </w:r>
          </w:p>
        </w:tc>
        <w:tc>
          <w:tcPr>
            <w:tcW w:w="5655" w:type="dxa"/>
            <w:gridSpan w:val="5"/>
            <w:vAlign w:val="center"/>
          </w:tcPr>
          <w:p>
            <w:r>
              <w:t>水泥砂浆 10mm＋挤塑聚苯板 20mm＋钢筋混凝土 120mm＋石灰砂浆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72.1</w:t>
            </w:r>
          </w:p>
        </w:tc>
        <w:tc>
          <w:tcPr>
            <w:tcW w:w="1131" w:type="dxa"/>
            <w:vAlign w:val="center"/>
          </w:tcPr>
          <w:p>
            <w:r>
              <w:t>74.4</w:t>
            </w:r>
          </w:p>
        </w:tc>
        <w:tc>
          <w:tcPr>
            <w:tcW w:w="1131" w:type="dxa"/>
            <w:vAlign w:val="center"/>
          </w:tcPr>
          <w:p>
            <w:r>
              <w:t>76.5</w:t>
            </w:r>
          </w:p>
        </w:tc>
        <w:tc>
          <w:tcPr>
            <w:tcW w:w="1131" w:type="dxa"/>
            <w:vAlign w:val="center"/>
          </w:tcPr>
          <w:p>
            <w:r>
              <w:t>71.3</w:t>
            </w:r>
          </w:p>
        </w:tc>
        <w:tc>
          <w:tcPr>
            <w:tcW w:w="1131" w:type="dxa"/>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7" w:name="墙板空气声隔声量"/>
      <w:bookmarkEnd w:id="47"/>
    </w:p>
    <w:p>
      <w:pPr>
        <w:pStyle w:val="3"/>
        <w:rPr>
          <w:lang w:val="en-US"/>
        </w:rPr>
      </w:pPr>
    </w:p>
    <w:p>
      <w:pPr>
        <w:pStyle w:val="4"/>
      </w:pPr>
      <w:bookmarkStart w:id="48" w:name="_Toc131692046"/>
      <w:r>
        <w:rPr>
          <w:rFonts w:hint="eastAsia"/>
        </w:rPr>
        <w:t>门窗的空气声隔声量</w:t>
      </w:r>
      <w:bookmarkEnd w:id="48"/>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r>
              <w:t>构件</w:t>
            </w:r>
          </w:p>
        </w:tc>
        <w:tc>
          <w:tcPr>
            <w:tcW w:w="7183"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户门</w:t>
            </w:r>
          </w:p>
        </w:tc>
        <w:tc>
          <w:tcPr>
            <w:tcW w:w="1528" w:type="dxa"/>
            <w:vAlign w:val="center"/>
          </w:tcPr>
          <w:p>
            <w:r>
              <w:t>构造名称</w:t>
            </w:r>
          </w:p>
        </w:tc>
        <w:tc>
          <w:tcPr>
            <w:tcW w:w="5655" w:type="dxa"/>
            <w:gridSpan w:val="5"/>
            <w:vAlign w:val="center"/>
          </w:tcPr>
          <w:p>
            <w:r>
              <w:t>单层木制内门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参照构造</w:t>
            </w:r>
          </w:p>
        </w:tc>
        <w:tc>
          <w:tcPr>
            <w:tcW w:w="5655" w:type="dxa"/>
            <w:gridSpan w:val="5"/>
            <w:vAlign w:val="center"/>
          </w:tcPr>
          <w:p>
            <w:pPr>
              <w:rPr>
                <w:rFonts w:hint="eastAsia" w:eastAsia="微软雅黑"/>
                <w:lang w:eastAsia="zh-CN"/>
              </w:rPr>
            </w:pPr>
            <w:r>
              <w:t>木门</w:t>
            </w:r>
          </w:p>
          <w:p>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分频隔声量</w:t>
            </w:r>
          </w:p>
        </w:tc>
        <w:tc>
          <w:tcPr>
            <w:tcW w:w="1131" w:type="dxa"/>
            <w:vAlign w:val="center"/>
          </w:tcPr>
          <w:p>
            <w:r>
              <w:t>24.0</w:t>
            </w:r>
          </w:p>
        </w:tc>
        <w:tc>
          <w:tcPr>
            <w:tcW w:w="1131" w:type="dxa"/>
            <w:vAlign w:val="center"/>
          </w:tcPr>
          <w:p>
            <w:r>
              <w:t>24.0</w:t>
            </w:r>
          </w:p>
        </w:tc>
        <w:tc>
          <w:tcPr>
            <w:tcW w:w="1131" w:type="dxa"/>
            <w:vAlign w:val="center"/>
          </w:tcPr>
          <w:p>
            <w:r>
              <w:t>31.0</w:t>
            </w:r>
          </w:p>
        </w:tc>
        <w:tc>
          <w:tcPr>
            <w:tcW w:w="1131" w:type="dxa"/>
            <w:vAlign w:val="center"/>
          </w:tcPr>
          <w:p>
            <w:r>
              <w:t>35.0</w:t>
            </w:r>
          </w:p>
        </w:tc>
        <w:tc>
          <w:tcPr>
            <w:tcW w:w="1131" w:type="dxa"/>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不利偏差</w:t>
            </w:r>
          </w:p>
        </w:tc>
        <w:tc>
          <w:tcPr>
            <w:tcW w:w="1131" w:type="dxa"/>
            <w:vAlign w:val="center"/>
          </w:tcPr>
          <w:p>
            <w:r>
              <w:t>0.0</w:t>
            </w:r>
          </w:p>
        </w:tc>
        <w:tc>
          <w:tcPr>
            <w:tcW w:w="1131" w:type="dxa"/>
            <w:vAlign w:val="center"/>
          </w:tcPr>
          <w:p>
            <w:r>
              <w:t>3.0</w:t>
            </w:r>
          </w:p>
        </w:tc>
        <w:tc>
          <w:tcPr>
            <w:tcW w:w="1131" w:type="dxa"/>
            <w:vAlign w:val="center"/>
          </w:tcPr>
          <w:p>
            <w:r>
              <w:t>3.0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vAlign w:val="center"/>
          </w:tcPr>
          <w:p>
            <w:r>
              <w:t>计权隔声量</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隔声性能</w:t>
            </w:r>
          </w:p>
        </w:tc>
        <w:tc>
          <w:tcPr>
            <w:tcW w:w="5655"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住宅建筑中其他外窗</w:t>
            </w:r>
          </w:p>
        </w:tc>
        <w:tc>
          <w:tcPr>
            <w:tcW w:w="1528" w:type="dxa"/>
            <w:vAlign w:val="center"/>
          </w:tcPr>
          <w:p>
            <w:r>
              <w:t>构造名称</w:t>
            </w:r>
          </w:p>
        </w:tc>
        <w:tc>
          <w:tcPr>
            <w:tcW w:w="5655" w:type="dxa"/>
            <w:gridSpan w:val="5"/>
            <w:vAlign w:val="center"/>
          </w:tcPr>
          <w:p>
            <w:r>
              <w:t>上限-60系列平开铝合金断热窗6+12A+6LowE</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参照构造</w:t>
            </w:r>
          </w:p>
        </w:tc>
        <w:tc>
          <w:tcPr>
            <w:tcW w:w="5655" w:type="dxa"/>
            <w:gridSpan w:val="5"/>
            <w:vAlign w:val="center"/>
          </w:tcPr>
          <w:p>
            <w:pPr>
              <w:rPr>
                <w:rFonts w:hint="eastAsia" w:eastAsia="微软雅黑"/>
                <w:lang w:eastAsia="zh-CN"/>
              </w:rPr>
            </w:pPr>
            <w:r>
              <w:t>夹层玻璃隔声窗</w:t>
            </w:r>
          </w:p>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隔声量来源</w:t>
            </w:r>
          </w:p>
        </w:tc>
        <w:tc>
          <w:tcPr>
            <w:tcW w:w="565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分频隔声量</w:t>
            </w:r>
          </w:p>
        </w:tc>
        <w:tc>
          <w:tcPr>
            <w:tcW w:w="1131" w:type="dxa"/>
            <w:vAlign w:val="center"/>
          </w:tcPr>
          <w:p>
            <w:r>
              <w:t>23.0</w:t>
            </w:r>
          </w:p>
        </w:tc>
        <w:tc>
          <w:tcPr>
            <w:tcW w:w="1131" w:type="dxa"/>
            <w:vAlign w:val="center"/>
          </w:tcPr>
          <w:p>
            <w:r>
              <w:t>31.0</w:t>
            </w:r>
          </w:p>
        </w:tc>
        <w:tc>
          <w:tcPr>
            <w:tcW w:w="1131" w:type="dxa"/>
            <w:vAlign w:val="center"/>
          </w:tcPr>
          <w:p>
            <w:r>
              <w:t>35.0</w:t>
            </w:r>
          </w:p>
        </w:tc>
        <w:tc>
          <w:tcPr>
            <w:tcW w:w="1131" w:type="dxa"/>
            <w:vAlign w:val="center"/>
          </w:tcPr>
          <w:p>
            <w:r>
              <w:t>36.0</w:t>
            </w:r>
          </w:p>
        </w:tc>
        <w:tc>
          <w:tcPr>
            <w:tcW w:w="1131"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5.0</w:t>
            </w:r>
          </w:p>
        </w:tc>
        <w:tc>
          <w:tcPr>
            <w:tcW w:w="1131"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计权隔声量</w:t>
            </w:r>
          </w:p>
        </w:tc>
        <w:tc>
          <w:tcPr>
            <w:tcW w:w="5655" w:type="dxa"/>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continue"/>
            <w:shd w:val="clear" w:color="auto" w:fill="E6E6E6"/>
            <w:vAlign w:val="center"/>
          </w:tcPr>
          <w:p/>
        </w:tc>
        <w:tc>
          <w:tcPr>
            <w:tcW w:w="1528" w:type="dxa"/>
            <w:vAlign w:val="center"/>
          </w:tcPr>
          <w:p>
            <w:r>
              <w:t>频谱修正量</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隔声性能</w:t>
            </w:r>
          </w:p>
        </w:tc>
        <w:tc>
          <w:tcPr>
            <w:tcW w:w="5655"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9" w:name="门窗空气声隔声量"/>
      <w:bookmarkEnd w:id="49"/>
    </w:p>
    <w:p>
      <w:pPr>
        <w:pStyle w:val="2"/>
        <w:ind w:left="669" w:hanging="669"/>
      </w:pPr>
      <w:bookmarkStart w:id="50" w:name="_Toc131692047"/>
      <w:r>
        <w:rPr>
          <w:rFonts w:hint="eastAsia"/>
        </w:rPr>
        <w:t>楼板撞击声隔声性能</w:t>
      </w:r>
      <w:bookmarkEnd w:id="50"/>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6"/>
        <w:gridCol w:w="1812"/>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shd w:val="clear" w:color="auto" w:fill="E6E6E6"/>
            <w:vAlign w:val="center"/>
          </w:tcPr>
          <w:p>
            <w:pPr>
              <w:jc w:val="center"/>
            </w:pPr>
            <w:r>
              <w:t>构件</w:t>
            </w:r>
          </w:p>
        </w:tc>
        <w:tc>
          <w:tcPr>
            <w:tcW w:w="7186" w:type="dxa"/>
            <w:gridSpan w:val="6"/>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restart"/>
            <w:shd w:val="clear" w:color="auto" w:fill="E6E6E6"/>
            <w:vAlign w:val="center"/>
          </w:tcPr>
          <w:p>
            <w:r>
              <w:t>卧室的分户楼板</w:t>
            </w:r>
          </w:p>
        </w:tc>
        <w:tc>
          <w:tcPr>
            <w:tcW w:w="1811" w:type="dxa"/>
            <w:shd w:val="clear" w:color="auto" w:fill="E6E6E6"/>
            <w:vAlign w:val="center"/>
          </w:tcPr>
          <w:p>
            <w:r>
              <w:t>构造做法</w:t>
            </w:r>
          </w:p>
        </w:tc>
        <w:tc>
          <w:tcPr>
            <w:tcW w:w="5375" w:type="dxa"/>
            <w:gridSpan w:val="5"/>
            <w:vAlign w:val="center"/>
          </w:tcPr>
          <w:p>
            <w:r>
              <w:t>水泥砂浆 10mm＋挤塑聚苯板 20mm＋钢筋混凝土 120mm＋石灰砂浆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参照构造做法</w:t>
            </w:r>
          </w:p>
        </w:tc>
        <w:tc>
          <w:tcPr>
            <w:tcW w:w="5375" w:type="dxa"/>
            <w:gridSpan w:val="5"/>
            <w:vAlign w:val="center"/>
          </w:tcPr>
          <w:p>
            <w: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45" w:type="dxa"/>
            <w:vMerge w:val="continue"/>
            <w:shd w:val="clear" w:color="auto" w:fill="E6E6E6"/>
            <w:vAlign w:val="center"/>
          </w:tcPr>
          <w:p/>
        </w:tc>
        <w:tc>
          <w:tcPr>
            <w:tcW w:w="1811" w:type="dxa"/>
            <w:shd w:val="clear" w:color="auto" w:fill="E6E6E6"/>
            <w:vAlign w:val="center"/>
          </w:tcPr>
          <w:p>
            <w:r>
              <w:t>倍频程中心频率</w:t>
            </w:r>
          </w:p>
        </w:tc>
        <w:tc>
          <w:tcPr>
            <w:tcW w:w="1075" w:type="dxa"/>
            <w:shd w:val="clear" w:color="auto" w:fill="E6E6E6"/>
            <w:vAlign w:val="center"/>
          </w:tcPr>
          <w:p>
            <w:r>
              <w:t>125Hz</w:t>
            </w:r>
          </w:p>
        </w:tc>
        <w:tc>
          <w:tcPr>
            <w:tcW w:w="1075" w:type="dxa"/>
            <w:shd w:val="clear" w:color="auto" w:fill="E6E6E6"/>
            <w:vAlign w:val="center"/>
          </w:tcPr>
          <w:p>
            <w:r>
              <w:t>250Hz</w:t>
            </w:r>
          </w:p>
        </w:tc>
        <w:tc>
          <w:tcPr>
            <w:tcW w:w="1075" w:type="dxa"/>
            <w:shd w:val="clear" w:color="auto" w:fill="E6E6E6"/>
            <w:vAlign w:val="center"/>
          </w:tcPr>
          <w:p>
            <w:r>
              <w:t>500Hz</w:t>
            </w:r>
          </w:p>
        </w:tc>
        <w:tc>
          <w:tcPr>
            <w:tcW w:w="1075" w:type="dxa"/>
            <w:shd w:val="clear" w:color="auto" w:fill="E6E6E6"/>
            <w:vAlign w:val="center"/>
          </w:tcPr>
          <w:p>
            <w:r>
              <w:t>1000Hz</w:t>
            </w:r>
          </w:p>
        </w:tc>
        <w:tc>
          <w:tcPr>
            <w:tcW w:w="1075" w:type="dxa"/>
            <w:shd w:val="clear" w:color="auto" w:fill="E6E6E6"/>
            <w:vAlign w:val="center"/>
          </w:tcPr>
          <w:p>
            <w: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分频隔声量</w:t>
            </w:r>
          </w:p>
        </w:tc>
        <w:tc>
          <w:tcPr>
            <w:tcW w:w="1075" w:type="dxa"/>
            <w:vAlign w:val="center"/>
          </w:tcPr>
          <w:p>
            <w:r>
              <w:t>72.1</w:t>
            </w:r>
          </w:p>
        </w:tc>
        <w:tc>
          <w:tcPr>
            <w:tcW w:w="1075" w:type="dxa"/>
            <w:vAlign w:val="center"/>
          </w:tcPr>
          <w:p>
            <w:r>
              <w:t>74.4</w:t>
            </w:r>
          </w:p>
        </w:tc>
        <w:tc>
          <w:tcPr>
            <w:tcW w:w="1075" w:type="dxa"/>
            <w:vAlign w:val="center"/>
          </w:tcPr>
          <w:p>
            <w:r>
              <w:t>76.5</w:t>
            </w:r>
          </w:p>
        </w:tc>
        <w:tc>
          <w:tcPr>
            <w:tcW w:w="1075" w:type="dxa"/>
            <w:vAlign w:val="center"/>
          </w:tcPr>
          <w:p>
            <w:r>
              <w:t>71.3</w:t>
            </w:r>
          </w:p>
        </w:tc>
        <w:tc>
          <w:tcPr>
            <w:tcW w:w="1075" w:type="dxa"/>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不利偏差</w:t>
            </w:r>
          </w:p>
        </w:tc>
        <w:tc>
          <w:tcPr>
            <w:tcW w:w="1075" w:type="dxa"/>
            <w:vAlign w:val="center"/>
          </w:tcPr>
          <w:p>
            <w:r>
              <w:t>0.0</w:t>
            </w:r>
          </w:p>
        </w:tc>
        <w:tc>
          <w:tcPr>
            <w:tcW w:w="1075" w:type="dxa"/>
            <w:vAlign w:val="center"/>
          </w:tcPr>
          <w:p>
            <w:r>
              <w:t>0.0</w:t>
            </w:r>
          </w:p>
        </w:tc>
        <w:tc>
          <w:tcPr>
            <w:tcW w:w="1075" w:type="dxa"/>
            <w:vAlign w:val="center"/>
          </w:tcPr>
          <w:p>
            <w:r>
              <w:t>2.5</w:t>
            </w:r>
          </w:p>
        </w:tc>
        <w:tc>
          <w:tcPr>
            <w:tcW w:w="1075" w:type="dxa"/>
            <w:vAlign w:val="center"/>
          </w:tcPr>
          <w:p>
            <w:r>
              <w:t>0.3</w:t>
            </w:r>
          </w:p>
        </w:tc>
        <w:tc>
          <w:tcPr>
            <w:tcW w:w="1075" w:type="dxa"/>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数据来源</w:t>
            </w:r>
          </w:p>
        </w:tc>
        <w:tc>
          <w:tcPr>
            <w:tcW w:w="537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45" w:type="dxa"/>
            <w:vMerge w:val="continue"/>
            <w:shd w:val="clear" w:color="auto" w:fill="E6E6E6"/>
            <w:vAlign w:val="center"/>
          </w:tcPr>
          <w:p/>
        </w:tc>
        <w:tc>
          <w:tcPr>
            <w:tcW w:w="1811" w:type="dxa"/>
            <w:shd w:val="clear" w:color="auto" w:fill="E6E6E6"/>
            <w:vAlign w:val="center"/>
          </w:tcPr>
          <w:p>
            <w:r>
              <w:t>计权规范化撞击声压级</w:t>
            </w:r>
          </w:p>
        </w:tc>
        <w:tc>
          <w:tcPr>
            <w:tcW w:w="5375"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标准限值</w:t>
            </w:r>
          </w:p>
        </w:tc>
        <w:tc>
          <w:tcPr>
            <w:tcW w:w="5375" w:type="dxa"/>
            <w:gridSpan w:val="5"/>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结论</w:t>
            </w:r>
          </w:p>
        </w:tc>
        <w:tc>
          <w:tcPr>
            <w:tcW w:w="5375" w:type="dxa"/>
            <w:gridSpan w:val="5"/>
            <w:vAlign w:val="center"/>
          </w:tcPr>
          <w:p>
            <w:r>
              <w:t>满足平均要求</w:t>
            </w:r>
          </w:p>
        </w:tc>
      </w:tr>
    </w:tbl>
    <w:p>
      <w:pPr>
        <w:rPr>
          <w:lang w:val="en-US"/>
        </w:rPr>
      </w:pPr>
      <w:bookmarkStart w:id="51" w:name="撞击声隔声"/>
      <w:bookmarkEnd w:id="51"/>
    </w:p>
    <w:bookmarkEnd w:id="26"/>
    <w:p>
      <w:pPr>
        <w:pStyle w:val="2"/>
        <w:ind w:left="669" w:hanging="669"/>
        <w:rPr>
          <w:kern w:val="2"/>
        </w:rPr>
      </w:pPr>
      <w:bookmarkStart w:id="52" w:name="_Toc131692048"/>
      <w:r>
        <w:rPr>
          <w:rFonts w:hint="eastAsia"/>
          <w:kern w:val="2"/>
        </w:rPr>
        <w:t>星级技术要求</w:t>
      </w:r>
      <w:bookmarkEnd w:id="52"/>
    </w:p>
    <w:p>
      <w:pPr>
        <w:pStyle w:val="4"/>
      </w:pPr>
      <w:bookmarkStart w:id="53" w:name="_Toc131692049"/>
      <w:r>
        <w:rPr>
          <w:rFonts w:hint="eastAsia"/>
        </w:rPr>
        <w:t>外墙-室外与卧室之间</w:t>
      </w:r>
      <w:bookmarkEnd w:id="53"/>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2"/>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8"/>
        <w:gridCol w:w="1132"/>
        <w:gridCol w:w="2038"/>
        <w:gridCol w:w="1132"/>
        <w:gridCol w:w="1132"/>
        <w:gridCol w:w="1132"/>
        <w:gridCol w:w="203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shd w:val="clear" w:color="auto" w:fill="E6E6E6"/>
            <w:vAlign w:val="center"/>
          </w:tcPr>
          <w:p>
            <w:pPr>
              <w:jc w:val="center"/>
            </w:pPr>
            <w:r>
              <w:t>序号</w:t>
            </w:r>
          </w:p>
        </w:tc>
        <w:tc>
          <w:tcPr>
            <w:tcW w:w="1131" w:type="dxa"/>
            <w:shd w:val="clear" w:color="auto" w:fill="E6E6E6"/>
            <w:vAlign w:val="center"/>
          </w:tcPr>
          <w:p>
            <w:pPr>
              <w:jc w:val="center"/>
            </w:pPr>
            <w:r>
              <w:t>房间</w:t>
            </w:r>
          </w:p>
        </w:tc>
        <w:tc>
          <w:tcPr>
            <w:tcW w:w="2037" w:type="dxa"/>
            <w:shd w:val="clear" w:color="auto" w:fill="E6E6E6"/>
            <w:vAlign w:val="center"/>
          </w:tcPr>
          <w:p>
            <w:pPr>
              <w:jc w:val="center"/>
            </w:pPr>
            <w:r>
              <w:t>构造</w:t>
            </w:r>
          </w:p>
        </w:tc>
        <w:tc>
          <w:tcPr>
            <w:tcW w:w="1131" w:type="dxa"/>
            <w:shd w:val="clear" w:color="auto" w:fill="E6E6E6"/>
            <w:vAlign w:val="center"/>
          </w:tcPr>
          <w:p>
            <w:pPr>
              <w:jc w:val="center"/>
            </w:pPr>
            <w:r>
              <w:t>面积</w:t>
            </w:r>
          </w:p>
        </w:tc>
        <w:tc>
          <w:tcPr>
            <w:tcW w:w="1131" w:type="dxa"/>
            <w:shd w:val="clear" w:color="auto" w:fill="E6E6E6"/>
            <w:vAlign w:val="center"/>
          </w:tcPr>
          <w:p>
            <w:pPr>
              <w:jc w:val="center"/>
            </w:pPr>
            <w:r>
              <w:t>隔声量</w:t>
            </w:r>
          </w:p>
        </w:tc>
        <w:tc>
          <w:tcPr>
            <w:tcW w:w="1131" w:type="dxa"/>
            <w:shd w:val="clear" w:color="auto" w:fill="E6E6E6"/>
            <w:vAlign w:val="center"/>
          </w:tcPr>
          <w:p>
            <w:pPr>
              <w:jc w:val="center"/>
              <w:rPr>
                <w:rFonts w:hint="eastAsia" w:eastAsia="微软雅黑"/>
                <w:lang w:eastAsia="zh-CN"/>
              </w:rPr>
            </w:pPr>
            <w:r>
              <w:t>组合墙</w:t>
            </w:r>
          </w:p>
          <w:p>
            <w:pPr>
              <w:jc w:val="center"/>
            </w:pPr>
            <w:r>
              <w:t>隔声量</w:t>
            </w:r>
          </w:p>
        </w:tc>
        <w:tc>
          <w:tcPr>
            <w:tcW w:w="2037" w:type="dxa"/>
            <w:shd w:val="clear" w:color="auto" w:fill="E6E6E6"/>
            <w:vAlign w:val="center"/>
          </w:tcPr>
          <w:p>
            <w:pPr>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1</w:t>
            </w:r>
          </w:p>
        </w:tc>
        <w:tc>
          <w:tcPr>
            <w:tcW w:w="1131" w:type="dxa"/>
            <w:vMerge w:val="restart"/>
            <w:vAlign w:val="center"/>
          </w:tcPr>
          <w:p>
            <w:pPr>
              <w:jc w:val="center"/>
            </w:pPr>
            <w:r>
              <w:t>1020</w:t>
            </w:r>
          </w:p>
        </w:tc>
        <w:tc>
          <w:tcPr>
            <w:tcW w:w="2037" w:type="dxa"/>
            <w:vAlign w:val="center"/>
          </w:tcPr>
          <w:p>
            <w:pPr>
              <w:jc w:val="center"/>
            </w:pPr>
            <w:r>
              <w:t>卧室外墙</w:t>
            </w:r>
          </w:p>
        </w:tc>
        <w:tc>
          <w:tcPr>
            <w:tcW w:w="1131" w:type="dxa"/>
            <w:vAlign w:val="center"/>
          </w:tcPr>
          <w:p>
            <w:pPr>
              <w:jc w:val="center"/>
            </w:pPr>
            <w:r>
              <w:t>7.7</w:t>
            </w:r>
          </w:p>
        </w:tc>
        <w:tc>
          <w:tcPr>
            <w:tcW w:w="1131" w:type="dxa"/>
            <w:vAlign w:val="center"/>
          </w:tcPr>
          <w:p>
            <w:pPr>
              <w:jc w:val="center"/>
            </w:pPr>
            <w:r>
              <w:t>45</w:t>
            </w:r>
          </w:p>
        </w:tc>
        <w:tc>
          <w:tcPr>
            <w:tcW w:w="1131" w:type="dxa"/>
            <w:vMerge w:val="restart"/>
            <w:vAlign w:val="center"/>
          </w:tcPr>
          <w:p>
            <w:pPr>
              <w:jc w:val="center"/>
            </w:pPr>
            <w:r>
              <w:t>37</w:t>
            </w:r>
          </w:p>
        </w:tc>
        <w:tc>
          <w:tcPr>
            <w:tcW w:w="2037" w:type="dxa"/>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外窗(C2024)</w:t>
            </w:r>
          </w:p>
        </w:tc>
        <w:tc>
          <w:tcPr>
            <w:tcW w:w="1131" w:type="dxa"/>
            <w:vAlign w:val="center"/>
          </w:tcPr>
          <w:p>
            <w:pPr>
              <w:jc w:val="center"/>
            </w:pPr>
            <w:r>
              <w:t>4.8</w:t>
            </w:r>
          </w:p>
        </w:tc>
        <w:tc>
          <w:tcPr>
            <w:tcW w:w="1131" w:type="dxa"/>
            <w:vAlign w:val="center"/>
          </w:tcPr>
          <w:p>
            <w:pPr>
              <w:jc w:val="center"/>
            </w:pPr>
            <w:r>
              <w:t>33</w:t>
            </w:r>
          </w:p>
        </w:tc>
        <w:tc>
          <w:tcPr>
            <w:tcW w:w="1131" w:type="dxa"/>
            <w:vMerge w:val="continue"/>
            <w:vAlign w:val="center"/>
          </w:tcPr>
          <w:p>
            <w:pPr>
              <w:jc w:val="center"/>
            </w:pPr>
          </w:p>
        </w:tc>
        <w:tc>
          <w:tcPr>
            <w:tcW w:w="2037"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restart"/>
            <w:shd w:val="clear" w:color="auto" w:fill="E6E6E6"/>
            <w:vAlign w:val="center"/>
          </w:tcPr>
          <w:p>
            <w:pPr>
              <w:jc w:val="center"/>
            </w:pPr>
            <w:r>
              <w:t>2</w:t>
            </w:r>
          </w:p>
        </w:tc>
        <w:tc>
          <w:tcPr>
            <w:tcW w:w="1131" w:type="dxa"/>
            <w:vMerge w:val="restart"/>
            <w:vAlign w:val="center"/>
          </w:tcPr>
          <w:p>
            <w:pPr>
              <w:jc w:val="center"/>
            </w:pPr>
            <w:r>
              <w:t>2023@4</w:t>
            </w:r>
          </w:p>
        </w:tc>
        <w:tc>
          <w:tcPr>
            <w:tcW w:w="2037" w:type="dxa"/>
            <w:vAlign w:val="center"/>
          </w:tcPr>
          <w:p>
            <w:pPr>
              <w:jc w:val="center"/>
            </w:pPr>
            <w:r>
              <w:t>卧室外墙</w:t>
            </w:r>
          </w:p>
        </w:tc>
        <w:tc>
          <w:tcPr>
            <w:tcW w:w="1131" w:type="dxa"/>
            <w:vAlign w:val="center"/>
          </w:tcPr>
          <w:p>
            <w:pPr>
              <w:jc w:val="center"/>
            </w:pPr>
            <w:r>
              <w:t>7.3</w:t>
            </w:r>
          </w:p>
        </w:tc>
        <w:tc>
          <w:tcPr>
            <w:tcW w:w="1131" w:type="dxa"/>
            <w:vAlign w:val="center"/>
          </w:tcPr>
          <w:p>
            <w:pPr>
              <w:jc w:val="center"/>
            </w:pPr>
            <w:r>
              <w:t>45</w:t>
            </w:r>
          </w:p>
        </w:tc>
        <w:tc>
          <w:tcPr>
            <w:tcW w:w="1131" w:type="dxa"/>
            <w:vMerge w:val="restart"/>
            <w:vAlign w:val="center"/>
          </w:tcPr>
          <w:p>
            <w:pPr>
              <w:jc w:val="center"/>
            </w:pPr>
            <w:r>
              <w:t>37</w:t>
            </w:r>
          </w:p>
        </w:tc>
        <w:tc>
          <w:tcPr>
            <w:tcW w:w="2037" w:type="dxa"/>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外窗(C2021)</w:t>
            </w:r>
          </w:p>
        </w:tc>
        <w:tc>
          <w:tcPr>
            <w:tcW w:w="1131" w:type="dxa"/>
            <w:vAlign w:val="center"/>
          </w:tcPr>
          <w:p>
            <w:pPr>
              <w:jc w:val="center"/>
            </w:pPr>
            <w:r>
              <w:t>4.2</w:t>
            </w:r>
          </w:p>
        </w:tc>
        <w:tc>
          <w:tcPr>
            <w:tcW w:w="1131" w:type="dxa"/>
            <w:vAlign w:val="center"/>
          </w:tcPr>
          <w:p>
            <w:pPr>
              <w:jc w:val="center"/>
            </w:pPr>
            <w:r>
              <w:t>33</w:t>
            </w:r>
          </w:p>
        </w:tc>
        <w:tc>
          <w:tcPr>
            <w:tcW w:w="1131" w:type="dxa"/>
            <w:vMerge w:val="continue"/>
            <w:vAlign w:val="center"/>
          </w:tcPr>
          <w:p>
            <w:pPr>
              <w:jc w:val="center"/>
            </w:pPr>
          </w:p>
        </w:tc>
        <w:tc>
          <w:tcPr>
            <w:tcW w:w="2037"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3</w:t>
            </w:r>
          </w:p>
        </w:tc>
        <w:tc>
          <w:tcPr>
            <w:tcW w:w="1131" w:type="dxa"/>
            <w:vMerge w:val="restart"/>
            <w:vAlign w:val="center"/>
          </w:tcPr>
          <w:p>
            <w:pPr>
              <w:jc w:val="center"/>
            </w:pPr>
            <w:r>
              <w:t>1011</w:t>
            </w:r>
          </w:p>
        </w:tc>
        <w:tc>
          <w:tcPr>
            <w:tcW w:w="2037" w:type="dxa"/>
            <w:vAlign w:val="center"/>
          </w:tcPr>
          <w:p>
            <w:pPr>
              <w:jc w:val="center"/>
            </w:pPr>
            <w:r>
              <w:t>卧室外墙</w:t>
            </w:r>
          </w:p>
        </w:tc>
        <w:tc>
          <w:tcPr>
            <w:tcW w:w="1131" w:type="dxa"/>
            <w:vAlign w:val="center"/>
          </w:tcPr>
          <w:p>
            <w:pPr>
              <w:jc w:val="center"/>
            </w:pPr>
            <w:r>
              <w:t>8.1</w:t>
            </w:r>
          </w:p>
        </w:tc>
        <w:tc>
          <w:tcPr>
            <w:tcW w:w="1131" w:type="dxa"/>
            <w:vAlign w:val="center"/>
          </w:tcPr>
          <w:p>
            <w:pPr>
              <w:jc w:val="center"/>
            </w:pPr>
            <w:r>
              <w:t>45</w:t>
            </w:r>
          </w:p>
        </w:tc>
        <w:tc>
          <w:tcPr>
            <w:tcW w:w="1131" w:type="dxa"/>
            <w:vMerge w:val="restart"/>
            <w:vAlign w:val="center"/>
          </w:tcPr>
          <w:p>
            <w:pPr>
              <w:jc w:val="center"/>
            </w:pPr>
            <w:r>
              <w:t>37</w:t>
            </w:r>
          </w:p>
        </w:tc>
        <w:tc>
          <w:tcPr>
            <w:tcW w:w="2037" w:type="dxa"/>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外窗(C2024)</w:t>
            </w:r>
          </w:p>
        </w:tc>
        <w:tc>
          <w:tcPr>
            <w:tcW w:w="1131" w:type="dxa"/>
            <w:vAlign w:val="center"/>
          </w:tcPr>
          <w:p>
            <w:pPr>
              <w:jc w:val="center"/>
            </w:pPr>
            <w:r>
              <w:t>4.8</w:t>
            </w:r>
          </w:p>
        </w:tc>
        <w:tc>
          <w:tcPr>
            <w:tcW w:w="1131" w:type="dxa"/>
            <w:vAlign w:val="center"/>
          </w:tcPr>
          <w:p>
            <w:pPr>
              <w:jc w:val="center"/>
            </w:pPr>
            <w:r>
              <w:t>33</w:t>
            </w:r>
          </w:p>
        </w:tc>
        <w:tc>
          <w:tcPr>
            <w:tcW w:w="1131" w:type="dxa"/>
            <w:vMerge w:val="continue"/>
            <w:vAlign w:val="center"/>
          </w:tcPr>
          <w:p>
            <w:pPr>
              <w:jc w:val="center"/>
            </w:pPr>
          </w:p>
        </w:tc>
        <w:tc>
          <w:tcPr>
            <w:tcW w:w="2037"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restart"/>
            <w:shd w:val="clear" w:color="auto" w:fill="E6E6E6"/>
            <w:vAlign w:val="center"/>
          </w:tcPr>
          <w:p>
            <w:pPr>
              <w:jc w:val="center"/>
            </w:pPr>
            <w:r>
              <w:t>4</w:t>
            </w:r>
          </w:p>
        </w:tc>
        <w:tc>
          <w:tcPr>
            <w:tcW w:w="1131" w:type="dxa"/>
            <w:vMerge w:val="restart"/>
            <w:vAlign w:val="center"/>
          </w:tcPr>
          <w:p>
            <w:pPr>
              <w:jc w:val="center"/>
            </w:pPr>
            <w:r>
              <w:t>2017@4</w:t>
            </w:r>
          </w:p>
        </w:tc>
        <w:tc>
          <w:tcPr>
            <w:tcW w:w="2037" w:type="dxa"/>
            <w:vAlign w:val="center"/>
          </w:tcPr>
          <w:p>
            <w:pPr>
              <w:jc w:val="center"/>
            </w:pPr>
            <w:r>
              <w:t>卧室外墙</w:t>
            </w:r>
          </w:p>
        </w:tc>
        <w:tc>
          <w:tcPr>
            <w:tcW w:w="1131" w:type="dxa"/>
            <w:vAlign w:val="center"/>
          </w:tcPr>
          <w:p>
            <w:pPr>
              <w:jc w:val="center"/>
            </w:pPr>
            <w:r>
              <w:t>7.7</w:t>
            </w:r>
          </w:p>
        </w:tc>
        <w:tc>
          <w:tcPr>
            <w:tcW w:w="1131" w:type="dxa"/>
            <w:vAlign w:val="center"/>
          </w:tcPr>
          <w:p>
            <w:pPr>
              <w:jc w:val="center"/>
            </w:pPr>
            <w:r>
              <w:t>45</w:t>
            </w:r>
          </w:p>
        </w:tc>
        <w:tc>
          <w:tcPr>
            <w:tcW w:w="1131" w:type="dxa"/>
            <w:vMerge w:val="restart"/>
            <w:vAlign w:val="center"/>
          </w:tcPr>
          <w:p>
            <w:pPr>
              <w:jc w:val="center"/>
            </w:pPr>
            <w:r>
              <w:t>37</w:t>
            </w:r>
          </w:p>
        </w:tc>
        <w:tc>
          <w:tcPr>
            <w:tcW w:w="2037" w:type="dxa"/>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外窗(C2021)</w:t>
            </w:r>
          </w:p>
        </w:tc>
        <w:tc>
          <w:tcPr>
            <w:tcW w:w="1131" w:type="dxa"/>
            <w:vAlign w:val="center"/>
          </w:tcPr>
          <w:p>
            <w:pPr>
              <w:jc w:val="center"/>
            </w:pPr>
            <w:r>
              <w:t>4.2</w:t>
            </w:r>
          </w:p>
        </w:tc>
        <w:tc>
          <w:tcPr>
            <w:tcW w:w="1131" w:type="dxa"/>
            <w:vAlign w:val="center"/>
          </w:tcPr>
          <w:p>
            <w:pPr>
              <w:jc w:val="center"/>
            </w:pPr>
            <w:r>
              <w:t>33</w:t>
            </w:r>
          </w:p>
        </w:tc>
        <w:tc>
          <w:tcPr>
            <w:tcW w:w="1131" w:type="dxa"/>
            <w:vMerge w:val="continue"/>
            <w:vAlign w:val="center"/>
          </w:tcPr>
          <w:p>
            <w:pPr>
              <w:jc w:val="center"/>
            </w:pPr>
          </w:p>
        </w:tc>
        <w:tc>
          <w:tcPr>
            <w:tcW w:w="2037" w:type="dxa"/>
            <w:vMerge w:val="continue"/>
            <w:vAlign w:val="center"/>
          </w:tcPr>
          <w:p>
            <w:pPr>
              <w:jc w:val="center"/>
            </w:pPr>
          </w:p>
        </w:tc>
      </w:tr>
    </w:tbl>
    <w:p>
      <w:pPr>
        <w:pStyle w:val="3"/>
        <w:jc w:val="center"/>
        <w:rPr>
          <w:lang w:val="en-US"/>
        </w:rPr>
      </w:pPr>
      <w:bookmarkStart w:id="54" w:name="组合墙星级评价表"/>
      <w:bookmarkEnd w:id="54"/>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4"/>
      </w:pPr>
      <w:bookmarkStart w:id="55" w:name="_Toc131692050"/>
      <w:r>
        <w:rPr>
          <w:rFonts w:hint="eastAsia"/>
        </w:rPr>
        <w:t>分户墙</w:t>
      </w:r>
      <w:r>
        <w:t>-</w:t>
      </w:r>
      <w:r>
        <w:rPr>
          <w:rFonts w:hint="eastAsia"/>
        </w:rPr>
        <w:t>两侧卧室之间</w:t>
      </w:r>
      <w:bookmarkEnd w:id="55"/>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56" w:name="分户墙星级评价表"/>
      <w:bookmarkEnd w:id="56"/>
    </w:p>
    <w:p>
      <w:pPr>
        <w:pStyle w:val="3"/>
        <w:ind w:firstLine="420"/>
        <w:rPr>
          <w:rFonts w:ascii="黑体" w:hAnsi="黑体" w:eastAsia="黑体"/>
          <w:sz w:val="18"/>
          <w:szCs w:val="18"/>
          <w:lang w:val="en-US"/>
        </w:rPr>
      </w:pPr>
      <w:r>
        <w:rPr>
          <w:rFonts w:ascii="黑体" w:hAnsi="黑体" w:eastAsia="黑体"/>
          <w:sz w:val="18"/>
          <w:szCs w:val="18"/>
          <w:lang w:val="en-US"/>
        </w:rPr>
        <w:t>注：此处若无表格，代表本项目中不存在两户卧室相邻的情况，无需对此项进行评价。</w:t>
      </w:r>
    </w:p>
    <w:p>
      <w:pPr>
        <w:pStyle w:val="2"/>
        <w:ind w:left="669" w:hanging="669"/>
        <w:rPr>
          <w:kern w:val="2"/>
        </w:rPr>
      </w:pPr>
      <w:bookmarkStart w:id="57" w:name="_Toc131692051"/>
      <w:r>
        <w:rPr>
          <w:rFonts w:hint="eastAsia"/>
          <w:kern w:val="2"/>
        </w:rPr>
        <w:t>结论</w:t>
      </w:r>
      <w:bookmarkEnd w:id="57"/>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pPr>
              <w:jc w:val="center"/>
            </w:pPr>
            <w:r>
              <w:t>构件</w:t>
            </w:r>
          </w:p>
        </w:tc>
        <w:tc>
          <w:tcPr>
            <w:tcW w:w="2377" w:type="dxa"/>
            <w:shd w:val="clear" w:color="auto" w:fill="E6E6E6"/>
            <w:vAlign w:val="center"/>
          </w:tcPr>
          <w:p>
            <w:pPr>
              <w:jc w:val="center"/>
            </w:pPr>
            <w:r>
              <w:t>单值评价量+频谱修正量</w:t>
            </w:r>
          </w:p>
        </w:tc>
        <w:tc>
          <w:tcPr>
            <w:tcW w:w="2037" w:type="dxa"/>
            <w:shd w:val="clear" w:color="auto" w:fill="E6E6E6"/>
            <w:vAlign w:val="center"/>
          </w:tcPr>
          <w:p>
            <w:pPr>
              <w:jc w:val="center"/>
            </w:pPr>
            <w:r>
              <w:t>标准限值</w:t>
            </w:r>
          </w:p>
        </w:tc>
        <w:tc>
          <w:tcPr>
            <w:tcW w:w="147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卧室墙</w:t>
            </w:r>
          </w:p>
        </w:tc>
        <w:tc>
          <w:tcPr>
            <w:tcW w:w="2377" w:type="dxa"/>
            <w:vAlign w:val="center"/>
          </w:tcPr>
          <w:p>
            <w:r>
              <w:rPr>
                <w:b/>
              </w:rPr>
              <w:t>47</w:t>
            </w:r>
          </w:p>
        </w:tc>
        <w:tc>
          <w:tcPr>
            <w:tcW w:w="2037" w:type="dxa"/>
            <w:vAlign w:val="center"/>
          </w:tcPr>
          <w:p>
            <w:r>
              <w:t>低限:≥35</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卧室外墙</w:t>
            </w:r>
          </w:p>
        </w:tc>
        <w:tc>
          <w:tcPr>
            <w:tcW w:w="2377" w:type="dxa"/>
            <w:vAlign w:val="center"/>
          </w:tcPr>
          <w:p>
            <w:r>
              <w:rPr>
                <w:b/>
              </w:rPr>
              <w:t>45</w:t>
            </w:r>
          </w:p>
        </w:tc>
        <w:tc>
          <w:tcPr>
            <w:tcW w:w="2037" w:type="dxa"/>
            <w:vAlign w:val="center"/>
          </w:tcPr>
          <w:p>
            <w:r>
              <w:t>低限:≥45,高要求:≥50</w:t>
            </w:r>
          </w:p>
        </w:tc>
        <w:tc>
          <w:tcPr>
            <w:tcW w:w="1471"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452" w:type="dxa"/>
            <w:shd w:val="clear" w:color="auto" w:fill="E6E6E6"/>
            <w:vAlign w:val="center"/>
          </w:tcPr>
          <w:p>
            <w:r>
              <w:t>分户墙</w:t>
            </w:r>
          </w:p>
        </w:tc>
        <w:tc>
          <w:tcPr>
            <w:tcW w:w="2377" w:type="dxa"/>
            <w:vAlign w:val="center"/>
          </w:tcPr>
          <w:p>
            <w:r>
              <w:rPr>
                <w:b/>
              </w:rPr>
              <w:t>47</w:t>
            </w:r>
          </w:p>
        </w:tc>
        <w:tc>
          <w:tcPr>
            <w:tcW w:w="2037" w:type="dxa"/>
            <w:vAlign w:val="center"/>
          </w:tcPr>
          <w:p>
            <w:r>
              <w:t>低限:&gt;45,高要求:&gt;50</w:t>
            </w:r>
          </w:p>
        </w:tc>
        <w:tc>
          <w:tcPr>
            <w:tcW w:w="1471"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分户楼板</w:t>
            </w:r>
          </w:p>
        </w:tc>
        <w:tc>
          <w:tcPr>
            <w:tcW w:w="2377" w:type="dxa"/>
            <w:vAlign w:val="center"/>
          </w:tcPr>
          <w:p>
            <w:r>
              <w:rPr>
                <w:b/>
              </w:rPr>
              <w:t>66</w:t>
            </w:r>
          </w:p>
        </w:tc>
        <w:tc>
          <w:tcPr>
            <w:tcW w:w="2037" w:type="dxa"/>
            <w:vAlign w:val="center"/>
          </w:tcPr>
          <w:p>
            <w:r>
              <w:t>低限:&gt;45,高要求:&gt;50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户门</w:t>
            </w:r>
          </w:p>
        </w:tc>
        <w:tc>
          <w:tcPr>
            <w:tcW w:w="2377" w:type="dxa"/>
            <w:vAlign w:val="center"/>
          </w:tcPr>
          <w:p>
            <w:r>
              <w:rPr>
                <w:b/>
              </w:rPr>
              <w:t>33</w:t>
            </w:r>
          </w:p>
        </w:tc>
        <w:tc>
          <w:tcPr>
            <w:tcW w:w="2037" w:type="dxa"/>
            <w:vAlign w:val="center"/>
          </w:tcPr>
          <w:p>
            <w:r>
              <w:t>低限:≥25,高要求:≥30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住宅建筑中其他外窗</w:t>
            </w:r>
          </w:p>
        </w:tc>
        <w:tc>
          <w:tcPr>
            <w:tcW w:w="2377" w:type="dxa"/>
            <w:vAlign w:val="center"/>
          </w:tcPr>
          <w:p>
            <w:r>
              <w:rPr>
                <w:b/>
              </w:rPr>
              <w:t>33</w:t>
            </w:r>
          </w:p>
        </w:tc>
        <w:tc>
          <w:tcPr>
            <w:tcW w:w="2037" w:type="dxa"/>
            <w:vAlign w:val="center"/>
          </w:tcPr>
          <w:p>
            <w:r>
              <w:t>低限:≥25,高要求:≥30</w:t>
            </w:r>
          </w:p>
        </w:tc>
        <w:tc>
          <w:tcPr>
            <w:tcW w:w="1471" w:type="dxa"/>
            <w:vAlign w:val="center"/>
          </w:tcPr>
          <w:p>
            <w:r>
              <w:rPr>
                <w:b/>
              </w:rPr>
              <w:t>满足高要求</w:t>
            </w:r>
          </w:p>
        </w:tc>
      </w:tr>
    </w:tbl>
    <w:p>
      <w:bookmarkStart w:id="58" w:name="构件隔声性能统计"/>
      <w:bookmarkEnd w:id="58"/>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pPr>
              <w:jc w:val="center"/>
            </w:pPr>
            <w:r>
              <w:t>构件</w:t>
            </w:r>
          </w:p>
        </w:tc>
        <w:tc>
          <w:tcPr>
            <w:tcW w:w="2377" w:type="dxa"/>
            <w:shd w:val="clear" w:color="auto" w:fill="E6E6E6"/>
            <w:vAlign w:val="center"/>
          </w:tcPr>
          <w:p>
            <w:pPr>
              <w:jc w:val="center"/>
            </w:pPr>
            <w:r>
              <w:t>计权规范化撞击声压级</w:t>
            </w:r>
          </w:p>
        </w:tc>
        <w:tc>
          <w:tcPr>
            <w:tcW w:w="2037" w:type="dxa"/>
            <w:shd w:val="clear" w:color="auto" w:fill="E6E6E6"/>
            <w:vAlign w:val="center"/>
          </w:tcPr>
          <w:p>
            <w:pPr>
              <w:jc w:val="center"/>
            </w:pPr>
            <w:r>
              <w:t>标准限值</w:t>
            </w:r>
          </w:p>
        </w:tc>
        <w:tc>
          <w:tcPr>
            <w:tcW w:w="147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卧室的分户楼板</w:t>
            </w:r>
          </w:p>
        </w:tc>
        <w:tc>
          <w:tcPr>
            <w:tcW w:w="2377" w:type="dxa"/>
            <w:vAlign w:val="center"/>
          </w:tcPr>
          <w:p>
            <w:r>
              <w:rPr>
                <w:b/>
              </w:rPr>
              <w:t>69</w:t>
            </w:r>
          </w:p>
        </w:tc>
        <w:tc>
          <w:tcPr>
            <w:tcW w:w="2037" w:type="dxa"/>
            <w:vAlign w:val="center"/>
          </w:tcPr>
          <w:p>
            <w:r>
              <w:t>低限:&lt;75,高要求:&lt;65</w:t>
            </w:r>
          </w:p>
        </w:tc>
        <w:tc>
          <w:tcPr>
            <w:tcW w:w="1471" w:type="dxa"/>
            <w:vAlign w:val="center"/>
          </w:tcPr>
          <w:p>
            <w:r>
              <w:rPr>
                <w:b/>
              </w:rPr>
              <w:t>满足平均要求</w:t>
            </w:r>
          </w:p>
        </w:tc>
      </w:tr>
    </w:tbl>
    <w:p>
      <w:bookmarkStart w:id="59" w:name="撞击声隔声性能统计"/>
      <w:bookmarkEnd w:id="59"/>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jc w:val="center"/>
            </w:pPr>
            <w:r>
              <w:rPr>
                <w:rFonts w:hint="eastAsia"/>
              </w:rPr>
              <w:t>室外与卧室之间</w:t>
            </w:r>
          </w:p>
        </w:tc>
        <w:tc>
          <w:tcPr>
            <w:tcW w:w="2547" w:type="dxa"/>
            <w:vAlign w:val="center"/>
          </w:tcPr>
          <w:p>
            <w:pPr>
              <w:jc w:val="center"/>
              <w:rPr>
                <w:b/>
              </w:rPr>
            </w:pPr>
            <w:bookmarkStart w:id="60" w:name="组合墙星级评价隔声量"/>
            <w:r>
              <w:rPr>
                <w:b/>
              </w:rPr>
              <w:t>37</w:t>
            </w:r>
            <w:bookmarkEnd w:id="60"/>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jc w:val="center"/>
              <w:rPr>
                <w:b/>
                <w:highlight w:val="yellow"/>
                <w:lang w:val="en-US"/>
              </w:rPr>
            </w:pPr>
            <w:bookmarkStart w:id="61" w:name="组合墙星级评价结论"/>
            <w:r>
              <w:rPr>
                <w:b/>
              </w:rPr>
              <w:t>二星级</w:t>
            </w:r>
            <w:bookmarkEnd w:id="6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jc w:val="center"/>
            </w:pPr>
            <w:r>
              <w:rPr>
                <w:rFonts w:hint="eastAsia"/>
              </w:rPr>
              <w:t>分户墙两侧卧室之间</w:t>
            </w:r>
          </w:p>
        </w:tc>
        <w:tc>
          <w:tcPr>
            <w:tcW w:w="2547" w:type="dxa"/>
            <w:vAlign w:val="center"/>
          </w:tcPr>
          <w:p>
            <w:pPr>
              <w:jc w:val="center"/>
              <w:rPr>
                <w:b/>
              </w:rPr>
            </w:pPr>
            <w:bookmarkStart w:id="62" w:name="分户墙星级评价隔声量"/>
            <w:r>
              <w:rPr>
                <w:b/>
              </w:rPr>
              <w:t>--</w:t>
            </w:r>
            <w:bookmarkEnd w:id="62"/>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jc w:val="center"/>
              <w:rPr>
                <w:b/>
                <w:highlight w:val="yellow"/>
                <w:lang w:val="en-US"/>
              </w:rPr>
            </w:pPr>
            <w:bookmarkStart w:id="63" w:name="分户墙星级评价结论"/>
            <w:r>
              <w:rPr>
                <w:b/>
              </w:rPr>
              <w:t>--</w:t>
            </w:r>
            <w:bookmarkEnd w:id="63"/>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jc w:val="center"/>
            </w:pPr>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jc w:val="center"/>
            </w:pPr>
            <w:r>
              <w:t>卧室的分户楼板</w:t>
            </w:r>
          </w:p>
        </w:tc>
        <w:tc>
          <w:tcPr>
            <w:tcW w:w="2547" w:type="dxa"/>
            <w:vAlign w:val="center"/>
          </w:tcPr>
          <w:p>
            <w:pPr>
              <w:jc w:val="center"/>
              <w:rPr>
                <w:b/>
              </w:rPr>
            </w:pPr>
            <w:bookmarkStart w:id="64" w:name="分户楼板星级评价撞击声压级"/>
            <w:r>
              <w:rPr>
                <w:b/>
              </w:rPr>
              <w:t>69</w:t>
            </w:r>
            <w:bookmarkEnd w:id="64"/>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jc w:val="center"/>
              <w:rPr>
                <w:b/>
                <w:highlight w:val="yellow"/>
                <w:lang w:val="en-US"/>
              </w:rPr>
            </w:pPr>
            <w:bookmarkStart w:id="65" w:name="分户楼板星级评价结论"/>
            <w:r>
              <w:rPr>
                <w:b/>
              </w:rPr>
              <w:t>二星级</w:t>
            </w:r>
            <w:bookmarkEnd w:id="65"/>
          </w:p>
        </w:tc>
      </w:tr>
    </w:tbl>
    <w:p>
      <w:pPr>
        <w:pStyle w:val="3"/>
        <w:rPr>
          <w:rFonts w:ascii="宋体" w:hAnsi="宋体"/>
        </w:rPr>
      </w:pPr>
      <w:r>
        <w:rPr>
          <w:rFonts w:hint="eastAsia" w:ascii="宋体" w:hAnsi="宋体"/>
        </w:rPr>
        <w:t xml:space="preserve">    综上，根据</w:t>
      </w:r>
      <w:bookmarkStart w:id="66" w:name="标准名称2"/>
      <w:r>
        <w:t>《绿色建筑评价标准》（京津冀）DB11/T 825-2021</w:t>
      </w:r>
      <w:bookmarkEnd w:id="66"/>
      <w:r>
        <w:rPr>
          <w:rFonts w:hint="eastAsia" w:ascii="宋体" w:hAnsi="宋体"/>
        </w:rPr>
        <w:t>、《绿色建筑评</w:t>
      </w:r>
      <w:r>
        <w:t>价标准》GB/T50378-2019和《民用建筑隔声设计规范》GB50118-2010评价要求，可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jc w:val="center"/>
              <w:rPr>
                <w:bCs/>
              </w:rPr>
            </w:pPr>
            <w:r>
              <w:rPr>
                <w:bCs/>
              </w:rPr>
              <w:t>检查项</w:t>
            </w:r>
          </w:p>
        </w:tc>
        <w:tc>
          <w:tcPr>
            <w:tcW w:w="5812" w:type="dxa"/>
            <w:shd w:val="clear" w:color="auto" w:fill="E6E6E6"/>
          </w:tcPr>
          <w:p>
            <w:pPr>
              <w:jc w:val="center"/>
              <w:rPr>
                <w:bCs/>
              </w:rPr>
            </w:pPr>
            <w:r>
              <w:rPr>
                <w:rFonts w:hint="eastAsia"/>
                <w:bCs/>
              </w:rPr>
              <w:t>评价</w:t>
            </w:r>
            <w:r>
              <w:rPr>
                <w:bCs/>
              </w:rPr>
              <w:t>依据</w:t>
            </w:r>
          </w:p>
        </w:tc>
        <w:tc>
          <w:tcPr>
            <w:tcW w:w="1523"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67" w:name="空气声控制项结论"/>
            <w:r>
              <w:rPr>
                <w:rFonts w:hint="eastAsia"/>
                <w:b/>
                <w:lang w:val="en-US"/>
              </w:rPr>
              <w:t>满足</w:t>
            </w:r>
            <w:bookmarkEnd w:id="67"/>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bookmarkStart w:id="68" w:name="室内空气声条文内容"/>
            <w:bookmarkEnd w:id="68"/>
            <w:r>
              <w:rPr>
                <w:sz w:val="18"/>
                <w:szCs w:val="18"/>
              </w:rPr>
              <w:t>5.2.7 构件及相邻房间之间的空气声隔声性能达到现行国家标准《民用建筑隔声设计规范》 GB 50118 中的低限标准限值和高要求标准限值的平均值，得 3 分；达到高要求标准限值，得 5 分；</w:t>
            </w:r>
          </w:p>
        </w:tc>
        <w:tc>
          <w:tcPr>
            <w:tcW w:w="1523" w:type="dxa"/>
            <w:vAlign w:val="center"/>
          </w:tcPr>
          <w:p>
            <w:pPr>
              <w:jc w:val="center"/>
              <w:rPr>
                <w:b/>
                <w:lang w:val="en-US"/>
              </w:rPr>
            </w:pPr>
            <w:bookmarkStart w:id="69" w:name="空气声评分项结论"/>
            <w:r>
              <w:rPr>
                <w:rFonts w:hint="eastAsia"/>
                <w:b/>
                <w:lang w:val="en-US"/>
              </w:rPr>
              <w:t>满足低限要求</w:t>
            </w:r>
            <w:bookmarkEnd w:id="69"/>
          </w:p>
        </w:tc>
        <w:tc>
          <w:tcPr>
            <w:tcW w:w="737" w:type="dxa"/>
            <w:vAlign w:val="center"/>
          </w:tcPr>
          <w:p>
            <w:pPr>
              <w:jc w:val="center"/>
              <w:rPr>
                <w:b/>
                <w:lang w:val="en-US"/>
              </w:rPr>
            </w:pPr>
            <w:bookmarkStart w:id="70" w:name="空气声得分"/>
            <w:r>
              <w:rPr>
                <w:rFonts w:hint="eastAsia"/>
                <w:b/>
                <w:lang w:val="en-US"/>
              </w:rPr>
              <w:t>0</w:t>
            </w:r>
            <w:bookmarkEnd w:id="7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0"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71" w:name="撞击声控制项结论"/>
            <w:r>
              <w:rPr>
                <w:rFonts w:hint="eastAsia"/>
                <w:b/>
                <w:lang w:val="en-US"/>
              </w:rPr>
              <w:t>满足</w:t>
            </w:r>
            <w:bookmarkEnd w:id="71"/>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bookmarkStart w:id="72" w:name="室内撞击声条文内容"/>
            <w:bookmarkEnd w:id="72"/>
            <w:r>
              <w:rPr>
                <w:sz w:val="18"/>
                <w:szCs w:val="18"/>
              </w:rPr>
              <w:t>5.2.7 楼板的撞击声隔声性能达到现行国家标准《民用建筑隔声设计规范》GB 50118 中的低限标准限值和高要求标准限值的平均值，得 3 分；达到高要求标准限值，得 5 分。</w:t>
            </w:r>
          </w:p>
        </w:tc>
        <w:tc>
          <w:tcPr>
            <w:tcW w:w="1523" w:type="dxa"/>
            <w:vAlign w:val="center"/>
          </w:tcPr>
          <w:p>
            <w:pPr>
              <w:jc w:val="center"/>
              <w:rPr>
                <w:b/>
                <w:lang w:val="en-US"/>
              </w:rPr>
            </w:pPr>
            <w:bookmarkStart w:id="73" w:name="撞击声评分项结论"/>
            <w:r>
              <w:rPr>
                <w:rFonts w:hint="eastAsia"/>
                <w:b/>
                <w:lang w:val="en-US"/>
              </w:rPr>
              <w:t>满足平均要求</w:t>
            </w:r>
            <w:bookmarkEnd w:id="73"/>
          </w:p>
        </w:tc>
        <w:tc>
          <w:tcPr>
            <w:tcW w:w="737" w:type="dxa"/>
            <w:vAlign w:val="center"/>
          </w:tcPr>
          <w:p>
            <w:pPr>
              <w:jc w:val="center"/>
              <w:rPr>
                <w:b/>
                <w:lang w:val="en-US"/>
              </w:rPr>
            </w:pPr>
            <w:bookmarkStart w:id="74" w:name="撞击声得分"/>
            <w:r>
              <w:rPr>
                <w:rFonts w:hint="eastAsia"/>
                <w:b/>
                <w:lang w:val="en-US"/>
              </w:rPr>
              <w:t>3</w:t>
            </w:r>
            <w:bookmarkEnd w:id="74"/>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b/>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室外与卧室之间、分户墙（楼板）两侧卧室之间的空气声隔声性能以及卧室楼板的撞击声隔声性能达到低限标准限值和高要求标准限值的平均值，</w:t>
            </w:r>
            <w:r>
              <w:rPr>
                <w:rFonts w:hint="eastAsia"/>
                <w:sz w:val="18"/>
                <w:szCs w:val="18"/>
              </w:rPr>
              <w:t>满足二星级要求；</w:t>
            </w:r>
            <w:r>
              <w:rPr>
                <w:sz w:val="18"/>
                <w:szCs w:val="18"/>
              </w:rPr>
              <w:t>达到高要求标准限值，</w:t>
            </w:r>
            <w:r>
              <w:rPr>
                <w:rFonts w:hint="eastAsia"/>
                <w:sz w:val="18"/>
                <w:szCs w:val="18"/>
              </w:rPr>
              <w:t>满足三星级要求。</w:t>
            </w:r>
          </w:p>
        </w:tc>
        <w:tc>
          <w:tcPr>
            <w:tcW w:w="1523" w:type="dxa"/>
            <w:vAlign w:val="center"/>
          </w:tcPr>
          <w:p>
            <w:pPr>
              <w:jc w:val="center"/>
              <w:rPr>
                <w:b/>
                <w:lang w:val="en-US"/>
              </w:rPr>
            </w:pPr>
            <w:bookmarkStart w:id="75" w:name="星级评价总结论"/>
            <w:r>
              <w:rPr>
                <w:rFonts w:hint="eastAsia"/>
                <w:b/>
                <w:lang w:val="en-US"/>
              </w:rPr>
              <w:t>二星级</w:t>
            </w:r>
            <w:bookmarkEnd w:id="75"/>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等线 Light">
    <w:altName w:val="Almonte Snow"/>
    <w:panose1 w:val="00000000000000000000"/>
    <w:charset w:val="00"/>
    <w:family w:val="auto"/>
    <w:pitch w:val="default"/>
    <w:sig w:usb0="00000000" w:usb1="00000000" w:usb2="00000000" w:usb3="00000000" w:csb0="00000000" w:csb1="00000000"/>
  </w:font>
  <w:font w:name="Almonte Snow">
    <w:panose1 w:val="02000400000000000000"/>
    <w:charset w:val="00"/>
    <w:family w:val="auto"/>
    <w:pitch w:val="default"/>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ZjMxN2Y2MTJhMGYyOTNiNjY1N2U5NDlhZTYwNGYifQ=="/>
    <w:docVar w:name="KSO_WPS_MARK_KEY" w:val="af8001c2-58f1-4445-bd50-25f5daa568bc"/>
  </w:docVars>
  <w:rsids>
    <w:rsidRoot w:val="00A348E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1A2C"/>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5BA3"/>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83646"/>
    <w:rsid w:val="00190B7C"/>
    <w:rsid w:val="00192E22"/>
    <w:rsid w:val="0019610B"/>
    <w:rsid w:val="001969E2"/>
    <w:rsid w:val="00196F43"/>
    <w:rsid w:val="00197D19"/>
    <w:rsid w:val="001A075E"/>
    <w:rsid w:val="001A3AE6"/>
    <w:rsid w:val="001A5C53"/>
    <w:rsid w:val="001B2EB4"/>
    <w:rsid w:val="001B415F"/>
    <w:rsid w:val="001B5172"/>
    <w:rsid w:val="001B5727"/>
    <w:rsid w:val="001B5CBA"/>
    <w:rsid w:val="001B6384"/>
    <w:rsid w:val="001B6C40"/>
    <w:rsid w:val="001B7644"/>
    <w:rsid w:val="001B7675"/>
    <w:rsid w:val="001C3544"/>
    <w:rsid w:val="001D12EF"/>
    <w:rsid w:val="001D5D9D"/>
    <w:rsid w:val="001D6B5D"/>
    <w:rsid w:val="001D6BE8"/>
    <w:rsid w:val="001E146B"/>
    <w:rsid w:val="001E395D"/>
    <w:rsid w:val="001E4045"/>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57C4"/>
    <w:rsid w:val="00256D98"/>
    <w:rsid w:val="00260DAB"/>
    <w:rsid w:val="00263B34"/>
    <w:rsid w:val="00272D57"/>
    <w:rsid w:val="00274C79"/>
    <w:rsid w:val="00275513"/>
    <w:rsid w:val="0028108B"/>
    <w:rsid w:val="0028444A"/>
    <w:rsid w:val="00293E25"/>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29AB"/>
    <w:rsid w:val="002B6241"/>
    <w:rsid w:val="002C08C0"/>
    <w:rsid w:val="002C1248"/>
    <w:rsid w:val="002C4EB6"/>
    <w:rsid w:val="002C557B"/>
    <w:rsid w:val="002C6F49"/>
    <w:rsid w:val="002D3939"/>
    <w:rsid w:val="002D4C59"/>
    <w:rsid w:val="002D5D01"/>
    <w:rsid w:val="002E047F"/>
    <w:rsid w:val="002E10CE"/>
    <w:rsid w:val="002E32A0"/>
    <w:rsid w:val="002E541A"/>
    <w:rsid w:val="002E7505"/>
    <w:rsid w:val="002E76F9"/>
    <w:rsid w:val="002F0641"/>
    <w:rsid w:val="002F7710"/>
    <w:rsid w:val="00300944"/>
    <w:rsid w:val="00300B66"/>
    <w:rsid w:val="00302ECD"/>
    <w:rsid w:val="0030437C"/>
    <w:rsid w:val="00305227"/>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204"/>
    <w:rsid w:val="00372E9A"/>
    <w:rsid w:val="00375523"/>
    <w:rsid w:val="003757C4"/>
    <w:rsid w:val="003759B1"/>
    <w:rsid w:val="003764F9"/>
    <w:rsid w:val="00376CB0"/>
    <w:rsid w:val="00377D8F"/>
    <w:rsid w:val="0038007A"/>
    <w:rsid w:val="003816EB"/>
    <w:rsid w:val="00381A10"/>
    <w:rsid w:val="00381DFB"/>
    <w:rsid w:val="00387E83"/>
    <w:rsid w:val="0039287C"/>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87F"/>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4B7F"/>
    <w:rsid w:val="0047643A"/>
    <w:rsid w:val="00480791"/>
    <w:rsid w:val="004813EC"/>
    <w:rsid w:val="00483102"/>
    <w:rsid w:val="004850E1"/>
    <w:rsid w:val="004852CE"/>
    <w:rsid w:val="00485717"/>
    <w:rsid w:val="00485EC1"/>
    <w:rsid w:val="0049399F"/>
    <w:rsid w:val="004A225A"/>
    <w:rsid w:val="004A5418"/>
    <w:rsid w:val="004A5550"/>
    <w:rsid w:val="004A7887"/>
    <w:rsid w:val="004A7FEE"/>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4F4E4A"/>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064F"/>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A7DCA"/>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52E3"/>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56429"/>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6F5760"/>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1724"/>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A7B5D"/>
    <w:rsid w:val="007B1846"/>
    <w:rsid w:val="007B4074"/>
    <w:rsid w:val="007B5194"/>
    <w:rsid w:val="007C28BE"/>
    <w:rsid w:val="007C5104"/>
    <w:rsid w:val="007C6C34"/>
    <w:rsid w:val="007D16CF"/>
    <w:rsid w:val="007D25A3"/>
    <w:rsid w:val="007D3B84"/>
    <w:rsid w:val="007D4CC2"/>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64BF"/>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17EB"/>
    <w:rsid w:val="008B31F1"/>
    <w:rsid w:val="008B45DA"/>
    <w:rsid w:val="008C567E"/>
    <w:rsid w:val="008D0B6B"/>
    <w:rsid w:val="008D4D0D"/>
    <w:rsid w:val="008D50C0"/>
    <w:rsid w:val="008D5EA5"/>
    <w:rsid w:val="008D6D2D"/>
    <w:rsid w:val="008D7D9D"/>
    <w:rsid w:val="008E2303"/>
    <w:rsid w:val="008E2650"/>
    <w:rsid w:val="008F11B7"/>
    <w:rsid w:val="008F1FEE"/>
    <w:rsid w:val="008F4468"/>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36A8F"/>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41E"/>
    <w:rsid w:val="00972AF1"/>
    <w:rsid w:val="00973CBD"/>
    <w:rsid w:val="009747EE"/>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356A"/>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0976"/>
    <w:rsid w:val="00A31930"/>
    <w:rsid w:val="00A32590"/>
    <w:rsid w:val="00A348E7"/>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1A5D"/>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43F3"/>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F00C6"/>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77D58"/>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0781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5887"/>
    <w:rsid w:val="00DA7242"/>
    <w:rsid w:val="00DB4CC2"/>
    <w:rsid w:val="00DC68F7"/>
    <w:rsid w:val="00DC73AD"/>
    <w:rsid w:val="00DD26A2"/>
    <w:rsid w:val="00DD3180"/>
    <w:rsid w:val="00DE18F2"/>
    <w:rsid w:val="00DE2E75"/>
    <w:rsid w:val="00DE6AA1"/>
    <w:rsid w:val="00DE6E43"/>
    <w:rsid w:val="00DF289B"/>
    <w:rsid w:val="00DF470C"/>
    <w:rsid w:val="00DF5140"/>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180B"/>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5630"/>
    <w:rsid w:val="00EC66B6"/>
    <w:rsid w:val="00ED6759"/>
    <w:rsid w:val="00ED74C1"/>
    <w:rsid w:val="00EE2E3D"/>
    <w:rsid w:val="00EE35BE"/>
    <w:rsid w:val="00EE661B"/>
    <w:rsid w:val="00EF179D"/>
    <w:rsid w:val="00EF253F"/>
    <w:rsid w:val="00EF37EA"/>
    <w:rsid w:val="00EF43B4"/>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53A5"/>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 w:val="5739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6"/>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7"/>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uiPriority w:val="0"/>
  </w:style>
  <w:style w:type="character" w:styleId="25">
    <w:name w:val="Hyperlink"/>
    <w:qFormat/>
    <w:uiPriority w:val="99"/>
    <w:rPr>
      <w:color w:val="0000FF"/>
      <w:u w:val="single"/>
    </w:rPr>
  </w:style>
  <w:style w:type="character" w:customStyle="1" w:styleId="26">
    <w:name w:val="标题 2 Char"/>
    <w:link w:val="4"/>
    <w:qFormat/>
    <w:uiPriority w:val="0"/>
    <w:rPr>
      <w:rFonts w:ascii="微软雅黑" w:hAnsi="微软雅黑" w:eastAsia="微软雅黑" w:cs="微软雅黑"/>
      <w:b/>
      <w:bCs/>
      <w:iCs/>
      <w:color w:val="000000"/>
      <w:sz w:val="24"/>
      <w:szCs w:val="24"/>
    </w:rPr>
  </w:style>
  <w:style w:type="character" w:customStyle="1" w:styleId="27">
    <w:name w:val="正文文本缩进 Char2"/>
    <w:link w:val="13"/>
    <w:uiPriority w:val="0"/>
    <w:rPr>
      <w:rFonts w:ascii="微软雅黑" w:hAnsi="微软雅黑" w:eastAsia="微软雅黑"/>
      <w:kern w:val="2"/>
      <w:sz w:val="24"/>
      <w:szCs w:val="24"/>
    </w:rPr>
  </w:style>
  <w:style w:type="character" w:customStyle="1" w:styleId="28">
    <w:name w:val="正文文本缩进 Char1"/>
    <w:qFormat/>
    <w:uiPriority w:val="0"/>
    <w:rPr>
      <w:sz w:val="18"/>
      <w:lang w:val="en-GB"/>
    </w:rPr>
  </w:style>
  <w:style w:type="paragraph" w:styleId="29">
    <w:name w:val="List Paragraph"/>
    <w:basedOn w:val="1"/>
    <w:qFormat/>
    <w:uiPriority w:val="34"/>
    <w:pPr>
      <w:ind w:firstLine="420" w:firstLineChars="200"/>
    </w:pPr>
  </w:style>
  <w:style w:type="character" w:customStyle="1" w:styleId="30">
    <w:name w:val="正文文本缩进 Char"/>
    <w:qFormat/>
    <w:uiPriority w:val="0"/>
    <w:rPr>
      <w:rFonts w:ascii="微软雅黑" w:hAnsi="微软雅黑" w:eastAsia="微软雅黑"/>
      <w:kern w:val="2"/>
      <w:sz w:val="24"/>
      <w:szCs w:val="24"/>
    </w:rPr>
  </w:style>
  <w:style w:type="character" w:customStyle="1" w:styleId="31">
    <w:name w:val="标题 1 Char"/>
    <w:link w:val="2"/>
    <w:qFormat/>
    <w:uiPriority w:val="0"/>
    <w:rPr>
      <w:rFonts w:ascii="微软雅黑" w:hAnsi="微软雅黑" w:eastAsia="微软雅黑" w:cs="微软雅黑"/>
      <w:b/>
      <w:bCs/>
      <w:kern w:val="32"/>
      <w:sz w:val="28"/>
      <w:szCs w:val="28"/>
    </w:rPr>
  </w:style>
  <w:style w:type="character" w:customStyle="1" w:styleId="32">
    <w:name w:val="副标题 Char"/>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qFormat/>
    <w:uiPriority w:val="0"/>
    <w:rPr>
      <w:sz w:val="24"/>
      <w:szCs w:val="24"/>
      <w:lang w:val="en-GB"/>
    </w:rPr>
  </w:style>
  <w:style w:type="character" w:customStyle="1" w:styleId="36">
    <w:name w:val="批注框文本 Char"/>
    <w:basedOn w:val="23"/>
    <w:link w:val="15"/>
    <w:semiHidden/>
    <w:qFormat/>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278E-77E0-4BF8-AF93-9D48FF4E7E77}">
  <ds:schemaRefs/>
</ds:datastoreItem>
</file>

<file path=docProps/app.xml><?xml version="1.0" encoding="utf-8"?>
<Properties xmlns="http://schemas.openxmlformats.org/officeDocument/2006/extended-properties" xmlns:vt="http://schemas.openxmlformats.org/officeDocument/2006/docPropsVTypes">
  <Template>tmp1.dotx</Template>
  <Company>ths</Company>
  <Pages>13</Pages>
  <Words>6099</Words>
  <Characters>7429</Characters>
  <Lines>74</Lines>
  <Paragraphs>20</Paragraphs>
  <TotalTime>1</TotalTime>
  <ScaleCrop>false</ScaleCrop>
  <LinksUpToDate>false</LinksUpToDate>
  <CharactersWithSpaces>8035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2023-04-06T08:46:00Z</dcterms:created>
  <dc:creator>USER-</dc:creator>
  <cp:lastModifiedBy>马马小赫</cp:lastModifiedBy>
  <cp:lastPrinted>1900-12-31T16:00:00Z</cp:lastPrinted>
  <dcterms:modified xsi:type="dcterms:W3CDTF">2023-04-07T06:01:55Z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6F43434884CC4E52AE06AF7BA6AF0438</vt:lpwstr>
  </property>
</Properties>
</file>