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新建怀来县沙城镇第五小学项目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B7A05.405</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怀来县沙城镇第五小学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中机十院国际工程有限公司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rPr>
                <w:rFonts w:hint="eastAsia" w:eastAsia="微软雅黑"/>
                <w:lang w:eastAsia="zh-CN"/>
              </w:rPr>
            </w:pPr>
            <w:r>
              <w:rPr>
                <w:rFonts w:hint="eastAsia"/>
                <w:lang w:eastAsia="zh-CN"/>
              </w:rPr>
              <w:t>何梦漪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rPr>
                <w:rFonts w:hint="eastAsia" w:eastAsia="微软雅黑"/>
                <w:lang w:eastAsia="zh-CN"/>
              </w:rPr>
            </w:pPr>
            <w:r>
              <w:rPr>
                <w:rFonts w:hint="eastAsia"/>
                <w:lang w:eastAsia="zh-CN"/>
              </w:rPr>
              <w:t>陈筱军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rPr>
                <w:rFonts w:hint="eastAsia" w:eastAsia="微软雅黑"/>
                <w:lang w:eastAsia="zh-CN"/>
              </w:rPr>
            </w:pPr>
            <w:r>
              <w:rPr>
                <w:rFonts w:hint="eastAsia"/>
                <w:lang w:eastAsia="zh-CN"/>
              </w:rPr>
              <w:t>翟煜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2023年4月6日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P3F686E54</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"_Toc131692064"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_Toc131692064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"_Toc131692065"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_Toc131692065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"_Toc131692066"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_Toc131692066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"_Toc131692067"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_Toc131692067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"_Toc131692068"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_Toc131692068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"_Toc131692069"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_Toc131692069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"_Toc131692070"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_Toc131692070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"_Toc131692071"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_Toc131692071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"_Toc131692072"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_Toc131692072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"_Toc131692073"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_Toc131692073 \h </w:instrText>
      </w:r>
      <w:r>
        <w:fldChar w:fldCharType="separate"/>
      </w:r>
      <w:r>
        <w:t>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"_Toc131692074"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_Toc131692074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"_Toc131692075"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_Toc131692075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"_Toc131692076"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_Toc131692076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"_Toc131692077"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_Toc131692077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"_Toc131692078"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_Toc131692078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"_Toc131692079"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_Toc131692079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"_Toc131692080"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_Toc131692080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"_Toc131692081"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_Toc131692081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"_Toc131692082"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_Toc131692082 \h </w:instrText>
      </w:r>
      <w:r>
        <w:fldChar w:fldCharType="separate"/>
      </w:r>
      <w:r>
        <w:t>11</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13169206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新建怀来县沙城镇第五小学项目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3437</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5</w:t>
            </w:r>
            <w:bookmarkEnd w:id="15"/>
            <w:r>
              <w:rPr>
                <w:rFonts w:hint="eastAsia"/>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18.3</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102</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131692065"/>
      <w:r>
        <w:rPr>
          <w:rFonts w:hint="eastAsia"/>
        </w:rPr>
        <w:t>评价依据</w:t>
      </w:r>
      <w:bookmarkEnd w:id="21"/>
    </w:p>
    <w:p>
      <w:pPr>
        <w:pStyle w:val="3"/>
        <w:numPr>
          <w:ilvl w:val="0"/>
          <w:numId w:val="2"/>
        </w:numPr>
        <w:rPr>
          <w:lang w:val="en-US"/>
        </w:rPr>
      </w:pPr>
      <w:bookmarkStart w:id="22" w:name="标准名称1"/>
      <w:r>
        <w:t>《绿色建筑评价标准》（京津冀）DB11/T 825-2021</w:t>
      </w:r>
      <w:bookmarkEnd w:id="22"/>
    </w:p>
    <w:p>
      <w:pPr>
        <w:pStyle w:val="3"/>
        <w:numPr>
          <w:ilvl w:val="0"/>
          <w:numId w:val="2"/>
        </w:numPr>
        <w:rPr>
          <w:lang w:val="en-US"/>
        </w:rPr>
      </w:pPr>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bookmarkStart w:id="23" w:name="_Toc131692066"/>
      <w:bookmarkStart w:id="73" w:name="_GoBack"/>
      <w:bookmarkEnd w:id="73"/>
      <w:r>
        <w:rPr>
          <w:rFonts w:hint="eastAsia"/>
        </w:rPr>
        <w:t>标准</w:t>
      </w:r>
      <w:r>
        <w:t>要求</w:t>
      </w:r>
      <w:bookmarkEnd w:id="23"/>
    </w:p>
    <w:p>
      <w:pPr>
        <w:pStyle w:val="3"/>
        <w:ind w:firstLine="420" w:firstLineChars="200"/>
      </w:pPr>
      <w:bookmarkStart w:id="24" w:name="地方标准名称2"/>
      <w:bookmarkStart w:id="25" w:name="标准名称2"/>
      <w:r>
        <w:rPr>
          <w:rFonts w:hint="eastAsia"/>
        </w:rPr>
        <w:t>《绿色建筑评价标准》（京津冀）DB11/T 825-2021</w:t>
      </w:r>
      <w:bookmarkEnd w:id="24"/>
      <w:bookmarkEnd w:id="25"/>
      <w:r>
        <w:rPr>
          <w:rFonts w:hint="eastAsia"/>
        </w:rPr>
        <w:t>第5.1.</w:t>
      </w:r>
      <w:r>
        <w:t>4</w:t>
      </w:r>
      <w:r>
        <w:rPr>
          <w:rFonts w:hint="eastAsia"/>
        </w:rPr>
        <w:t>条、第</w:t>
      </w:r>
      <w:bookmarkStart w:id="26" w:name="室内噪声级条文编号1"/>
      <w:r>
        <w:rPr>
          <w:rFonts w:hint="eastAsia"/>
        </w:rPr>
        <w:t>5.2.6</w:t>
      </w:r>
      <w:bookmarkEnd w:id="26"/>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pPr>
      <w:bookmarkStart w:id="27" w:name="室内噪声级条文内容1"/>
      <w:bookmarkEnd w:id="27"/>
      <w:r>
        <w:t>5.2.6 采取措施优化主要功能房间的室内声环境，评价总分值为 8 分。</w:t>
      </w:r>
    </w:p>
    <w:p>
      <w:pPr>
        <w:pStyle w:val="3"/>
        <w:ind w:left="360" w:leftChars="200"/>
      </w:pPr>
      <w:r>
        <w:t xml:space="preserve">    噪声级达到现行国家标准《民用建筑隔声设计规范 》 GB 50118 中的低限标准限值和高要求标准限值的平均值，得 4 分；达到高要求标准限值，得 8 分 。</w:t>
      </w:r>
    </w:p>
    <w:p>
      <w:pPr>
        <w:pStyle w:val="2"/>
        <w:rPr>
          <w:kern w:val="2"/>
        </w:rPr>
      </w:pPr>
      <w:bookmarkStart w:id="28" w:name="_Toc131692067"/>
      <w:r>
        <w:rPr>
          <w:rFonts w:hint="eastAsia"/>
          <w:kern w:val="2"/>
        </w:rPr>
        <w:t>计算原理</w:t>
      </w:r>
      <w:bookmarkEnd w:id="28"/>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9" w:name="_Toc131692068"/>
      <w:r>
        <w:rPr>
          <w:rFonts w:hint="eastAsia"/>
        </w:rPr>
        <w:t>最不利</w:t>
      </w:r>
      <w:r>
        <w:t>房间确定</w:t>
      </w:r>
      <w:bookmarkEnd w:id="29"/>
    </w:p>
    <w:p>
      <w:pPr>
        <w:pStyle w:val="3"/>
        <w:numPr>
          <w:ilvl w:val="0"/>
          <w:numId w:val="4"/>
        </w:numPr>
      </w:pPr>
      <w:bookmarkStart w:id="30" w:name="_Hlk498956250"/>
      <w:bookmarkStart w:id="31"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30"/>
    </w:p>
    <w:p>
      <w:pPr>
        <w:pStyle w:val="3"/>
        <w:numPr>
          <w:ilvl w:val="0"/>
          <w:numId w:val="4"/>
        </w:numPr>
      </w:pPr>
      <w:r>
        <w:t>也可以根据项目实际情况和经验常识自选最不利房间进行评价，如靠近交通要道的卧室、办公室等。</w:t>
      </w:r>
    </w:p>
    <w:p>
      <w:pPr>
        <w:pStyle w:val="4"/>
      </w:pPr>
      <w:bookmarkStart w:id="32" w:name="_Toc131692069"/>
      <w:r>
        <w:rPr>
          <w:rFonts w:hint="eastAsia"/>
        </w:rPr>
        <w:t>室内</w:t>
      </w:r>
      <w:r>
        <w:t>噪声级</w:t>
      </w:r>
      <w:r>
        <w:rPr>
          <w:rFonts w:hint="eastAsia"/>
        </w:rPr>
        <w:t>计算</w:t>
      </w:r>
      <w:bookmarkEnd w:id="32"/>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33" w:name="_Toc131692070"/>
      <w:r>
        <w:rPr>
          <w:rFonts w:hint="eastAsia"/>
          <w:kern w:val="2"/>
        </w:rPr>
        <w:t>计算</w:t>
      </w:r>
      <w:r>
        <w:rPr>
          <w:kern w:val="2"/>
        </w:rPr>
        <w:t>过程</w:t>
      </w:r>
      <w:bookmarkEnd w:id="33"/>
    </w:p>
    <w:p>
      <w:pPr>
        <w:pStyle w:val="3"/>
        <w:ind w:firstLine="420"/>
        <w:rPr>
          <w:lang w:val="en-US"/>
        </w:rPr>
      </w:pPr>
      <w:r>
        <w:rPr>
          <w:rFonts w:hint="eastAsia"/>
          <w:lang w:val="en-US"/>
        </w:rPr>
        <w:t>本项目通过对整栋建筑的分析，确定了主要功能房间中噪声级最不利的房间为</w:t>
      </w:r>
      <w:bookmarkStart w:id="34" w:name="最不利房间编号2"/>
      <w:r>
        <w:rPr>
          <w:rFonts w:hint="eastAsia"/>
          <w:lang w:val="en-US"/>
        </w:rPr>
        <w:t>1004房间,房间类型[卧室]</w:t>
      </w:r>
      <w:bookmarkEnd w:id="34"/>
      <w:r>
        <w:rPr>
          <w:rFonts w:hint="eastAsia"/>
          <w:lang w:val="en-US"/>
        </w:rPr>
        <w:t>，报告书阐述该房间室内噪声级计算过程，房间情况如下图所示：</w:t>
      </w:r>
    </w:p>
    <w:p>
      <w:pPr>
        <w:jc w:val="center"/>
        <w:rPr>
          <w:lang w:val="en-US"/>
        </w:rPr>
      </w:pPr>
      <w:bookmarkStart w:id="35" w:name="最不利房间楼层平面图"/>
      <w:bookmarkEnd w:id="35"/>
      <w:r>
        <w:rPr>
          <w:lang w:val="en-US"/>
        </w:rPr>
        <w:drawing>
          <wp:inline distT="0" distB="0" distL="0" distR="0">
            <wp:extent cx="5667375" cy="31623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5667375" cy="31623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6" w:name="_Toc131692071"/>
      <w:r>
        <w:rPr>
          <w:rFonts w:hint="eastAsia"/>
        </w:rPr>
        <w:t>室外</w:t>
      </w:r>
      <w:r>
        <w:t>边界噪声</w:t>
      </w:r>
      <w:bookmarkEnd w:id="36"/>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7" w:name="昼间边界噪声"/>
      <w:r>
        <w:t>55</w:t>
      </w:r>
      <w:bookmarkEnd w:id="37"/>
      <w:r>
        <w:rPr>
          <w:rFonts w:hint="eastAsia"/>
          <w:b/>
          <w:kern w:val="2"/>
          <w:lang w:val="en-US"/>
        </w:rPr>
        <w:t>dB</w:t>
      </w:r>
      <w:r>
        <w:rPr>
          <w:b/>
          <w:kern w:val="2"/>
          <w:lang w:val="en-US"/>
        </w:rPr>
        <w:t>(A)</w:t>
      </w:r>
      <w:r>
        <w:rPr>
          <w:rFonts w:hint="eastAsia"/>
          <w:b/>
          <w:kern w:val="2"/>
          <w:lang w:val="en-US"/>
        </w:rPr>
        <w:t>， 夜间为</w:t>
      </w:r>
      <w:bookmarkStart w:id="38" w:name="夜间边界噪声"/>
      <w:r>
        <w:t>45</w:t>
      </w:r>
      <w:bookmarkEnd w:id="38"/>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9" w:name="_Toc131692072"/>
      <w:r>
        <w:t>构件空气声隔声</w:t>
      </w:r>
      <w:bookmarkEnd w:id="39"/>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FQ-1复合保温砌块</w:t>
            </w:r>
          </w:p>
        </w:tc>
        <w:tc>
          <w:tcPr>
            <w:tcW w:w="990" w:type="dxa"/>
            <w:vAlign w:val="center"/>
          </w:tcPr>
          <w:p>
            <w:pPr>
              <w:jc w:val="center"/>
            </w:pPr>
            <w:r>
              <w:t>250</w:t>
            </w:r>
          </w:p>
        </w:tc>
        <w:tc>
          <w:tcPr>
            <w:tcW w:w="990" w:type="dxa"/>
            <w:vAlign w:val="center"/>
          </w:tcPr>
          <w:p>
            <w:pPr>
              <w:jc w:val="center"/>
            </w:pPr>
            <w:r>
              <w:t>850</w:t>
            </w:r>
          </w:p>
        </w:tc>
        <w:tc>
          <w:tcPr>
            <w:tcW w:w="990" w:type="dxa"/>
            <w:vAlign w:val="center"/>
          </w:tcPr>
          <w:p>
            <w:pPr>
              <w:jc w:val="center"/>
            </w:pPr>
            <w:r>
              <w:t>213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10</w:t>
            </w:r>
          </w:p>
        </w:tc>
        <w:tc>
          <w:tcPr>
            <w:tcW w:w="990" w:type="dxa"/>
            <w:vAlign w:val="center"/>
          </w:tcPr>
          <w:p>
            <w:pPr>
              <w:jc w:val="center"/>
            </w:pPr>
            <w:r>
              <w:t>1600</w:t>
            </w:r>
          </w:p>
        </w:tc>
        <w:tc>
          <w:tcPr>
            <w:tcW w:w="990" w:type="dxa"/>
            <w:vAlign w:val="center"/>
          </w:tcPr>
          <w:p>
            <w:pPr>
              <w:jc w:val="center"/>
            </w:pPr>
            <w:r>
              <w:t>16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加气混凝土砌块</w:t>
            </w:r>
          </w:p>
        </w:tc>
        <w:tc>
          <w:tcPr>
            <w:tcW w:w="990" w:type="dxa"/>
            <w:vAlign w:val="center"/>
          </w:tcPr>
          <w:p>
            <w:pPr>
              <w:jc w:val="center"/>
            </w:pPr>
            <w:r>
              <w:t>200</w:t>
            </w:r>
          </w:p>
        </w:tc>
        <w:tc>
          <w:tcPr>
            <w:tcW w:w="990" w:type="dxa"/>
            <w:vAlign w:val="center"/>
          </w:tcPr>
          <w:p>
            <w:pPr>
              <w:jc w:val="center"/>
            </w:pPr>
            <w:r>
              <w:t>700</w:t>
            </w:r>
          </w:p>
        </w:tc>
        <w:tc>
          <w:tcPr>
            <w:tcW w:w="990" w:type="dxa"/>
            <w:vAlign w:val="center"/>
          </w:tcPr>
          <w:p>
            <w:pPr>
              <w:jc w:val="center"/>
            </w:pPr>
            <w:r>
              <w:t>140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楼板</w:t>
            </w:r>
          </w:p>
        </w:tc>
        <w:tc>
          <w:tcPr>
            <w:tcW w:w="3537" w:type="dxa"/>
            <w:vAlign w:val="center"/>
          </w:tcPr>
          <w:p>
            <w:r>
              <w:t>水泥砂浆</w:t>
            </w:r>
          </w:p>
        </w:tc>
        <w:tc>
          <w:tcPr>
            <w:tcW w:w="990" w:type="dxa"/>
            <w:vAlign w:val="center"/>
          </w:tcPr>
          <w:p>
            <w:pPr>
              <w:jc w:val="center"/>
            </w:pPr>
            <w:r>
              <w:t>10</w:t>
            </w:r>
          </w:p>
        </w:tc>
        <w:tc>
          <w:tcPr>
            <w:tcW w:w="990" w:type="dxa"/>
            <w:vAlign w:val="center"/>
          </w:tcPr>
          <w:p>
            <w:pPr>
              <w:jc w:val="center"/>
            </w:pPr>
            <w:r>
              <w:t>1800</w:t>
            </w:r>
          </w:p>
        </w:tc>
        <w:tc>
          <w:tcPr>
            <w:tcW w:w="990" w:type="dxa"/>
            <w:vAlign w:val="center"/>
          </w:tcPr>
          <w:p>
            <w:pPr>
              <w:jc w:val="center"/>
            </w:pPr>
            <w:r>
              <w:t>18</w:t>
            </w:r>
          </w:p>
        </w:tc>
        <w:tc>
          <w:tcPr>
            <w:tcW w:w="1126" w:type="dxa"/>
            <w:vMerge w:val="restart"/>
            <w:vAlign w:val="center"/>
          </w:tcPr>
          <w:p>
            <w:pPr>
              <w:jc w:val="center"/>
            </w:pPr>
            <w:r>
              <w:t>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w:t>
            </w:r>
          </w:p>
        </w:tc>
        <w:tc>
          <w:tcPr>
            <w:tcW w:w="990" w:type="dxa"/>
            <w:vAlign w:val="center"/>
          </w:tcPr>
          <w:p>
            <w:pPr>
              <w:jc w:val="center"/>
            </w:pPr>
            <w:r>
              <w:t>20</w:t>
            </w:r>
          </w:p>
        </w:tc>
        <w:tc>
          <w:tcPr>
            <w:tcW w:w="990" w:type="dxa"/>
            <w:vAlign w:val="center"/>
          </w:tcPr>
          <w:p>
            <w:pPr>
              <w:jc w:val="center"/>
            </w:pPr>
            <w:r>
              <w:t>30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10</w:t>
            </w:r>
          </w:p>
        </w:tc>
        <w:tc>
          <w:tcPr>
            <w:tcW w:w="990" w:type="dxa"/>
            <w:vAlign w:val="center"/>
          </w:tcPr>
          <w:p>
            <w:pPr>
              <w:jc w:val="center"/>
            </w:pPr>
            <w:r>
              <w:t>1600</w:t>
            </w:r>
          </w:p>
        </w:tc>
        <w:tc>
          <w:tcPr>
            <w:tcW w:w="990" w:type="dxa"/>
            <w:vAlign w:val="center"/>
          </w:tcPr>
          <w:p>
            <w:pPr>
              <w:jc w:val="center"/>
            </w:pPr>
            <w:r>
              <w:t>16</w:t>
            </w:r>
          </w:p>
        </w:tc>
        <w:tc>
          <w:tcPr>
            <w:tcW w:w="1126" w:type="dxa"/>
            <w:vMerge w:val="continue"/>
            <w:vAlign w:val="center"/>
          </w:tcPr>
          <w:p>
            <w:pPr>
              <w:jc w:val="center"/>
            </w:pPr>
          </w:p>
        </w:tc>
      </w:tr>
    </w:tbl>
    <w:p>
      <w:pPr>
        <w:jc w:val="center"/>
        <w:rPr>
          <w:lang w:val="en-US"/>
        </w:rPr>
      </w:pPr>
      <w:bookmarkStart w:id="40" w:name="最不利房间围护结构材料清单"/>
      <w:bookmarkEnd w:id="40"/>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pPr>
              <w:jc w:val="center"/>
              <w:rPr>
                <w:rFonts w:hint="eastAsia" w:eastAsia="微软雅黑"/>
                <w:lang w:eastAsia="zh-CN"/>
              </w:rPr>
            </w:pPr>
            <w:r>
              <w:t>外墙构造1</w:t>
            </w:r>
          </w:p>
          <w:p>
            <w:pPr>
              <w:jc w:val="center"/>
              <w:rPr>
                <w:rFonts w:hint="eastAsia" w:eastAsia="微软雅黑"/>
                <w:lang w:eastAsia="zh-CN"/>
              </w:rPr>
            </w:pP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37.8</w:t>
            </w:r>
          </w:p>
        </w:tc>
        <w:tc>
          <w:tcPr>
            <w:tcW w:w="1245" w:type="dxa"/>
            <w:vAlign w:val="center"/>
          </w:tcPr>
          <w:p>
            <w:r>
              <w:t>41.1</w:t>
            </w:r>
          </w:p>
        </w:tc>
        <w:tc>
          <w:tcPr>
            <w:tcW w:w="1245" w:type="dxa"/>
            <w:vAlign w:val="center"/>
          </w:tcPr>
          <w:p>
            <w:r>
              <w:t>44.4</w:t>
            </w:r>
          </w:p>
        </w:tc>
        <w:tc>
          <w:tcPr>
            <w:tcW w:w="1245" w:type="dxa"/>
            <w:vAlign w:val="center"/>
          </w:tcPr>
          <w:p>
            <w:r>
              <w:t>47.7</w:t>
            </w:r>
          </w:p>
        </w:tc>
        <w:tc>
          <w:tcPr>
            <w:tcW w:w="1245"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264.5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水泥砂浆 20mm＋FQ-1复合保温砌块 250mm＋石灰砂浆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7" w:name="外墙隔声量"/>
      <w:bookmarkEnd w:id="4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pPr>
              <w:jc w:val="center"/>
            </w:pPr>
            <w:r>
              <w:t>外窗(C2024)</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23.0</w:t>
            </w:r>
          </w:p>
        </w:tc>
        <w:tc>
          <w:tcPr>
            <w:tcW w:w="1245" w:type="dxa"/>
            <w:vAlign w:val="center"/>
          </w:tcPr>
          <w:p>
            <w:r>
              <w:t>31.0</w:t>
            </w:r>
          </w:p>
        </w:tc>
        <w:tc>
          <w:tcPr>
            <w:tcW w:w="1245" w:type="dxa"/>
            <w:vAlign w:val="center"/>
          </w:tcPr>
          <w:p>
            <w:r>
              <w:t>35.0</w:t>
            </w:r>
          </w:p>
        </w:tc>
        <w:tc>
          <w:tcPr>
            <w:tcW w:w="1245" w:type="dxa"/>
            <w:vAlign w:val="center"/>
          </w:tcPr>
          <w:p>
            <w:r>
              <w:t>36.0</w:t>
            </w:r>
          </w:p>
        </w:tc>
        <w:tc>
          <w:tcPr>
            <w:tcW w:w="1245"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上限-60系列平开铝合金断热窗6+12A+6LowE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《建筑隔声与吸声构造》08J931</w:t>
            </w:r>
          </w:p>
        </w:tc>
      </w:tr>
    </w:tbl>
    <w:p>
      <w:pPr>
        <w:jc w:val="center"/>
        <w:rPr>
          <w:lang w:val="en-US"/>
        </w:rPr>
      </w:pPr>
      <w:bookmarkStart w:id="48" w:name="门窗隔声量"/>
      <w:bookmarkEnd w:id="48"/>
    </w:p>
    <w:p>
      <w:pPr>
        <w:pStyle w:val="4"/>
      </w:pPr>
      <w:bookmarkStart w:id="49" w:name="_Toc131692073"/>
      <w:r>
        <w:rPr>
          <w:rFonts w:hint="eastAsia"/>
        </w:rPr>
        <w:t>房间</w:t>
      </w:r>
      <w:r>
        <w:t>总吸声量计算</w:t>
      </w:r>
      <w:bookmarkEnd w:id="49"/>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2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471" w:type="dxa"/>
            <w:vMerge w:val="restart"/>
            <w:shd w:val="clear" w:color="auto" w:fill="E6E6E6"/>
            <w:vAlign w:val="center"/>
          </w:tcPr>
          <w:p>
            <w:r>
              <w:t>构件</w:t>
            </w:r>
          </w:p>
        </w:tc>
        <w:tc>
          <w:tcPr>
            <w:tcW w:w="679" w:type="dxa"/>
            <w:vMerge w:val="restart"/>
            <w:shd w:val="clear" w:color="auto" w:fill="E6E6E6"/>
            <w:vAlign w:val="center"/>
          </w:tcPr>
          <w:p>
            <w:pPr>
              <w:jc w:val="center"/>
              <w:rPr>
                <w:rFonts w:hint="eastAsia" w:eastAsia="微软雅黑"/>
                <w:lang w:eastAsia="zh-CN"/>
              </w:rPr>
            </w:pPr>
            <w:r>
              <w:t>面积</w:t>
            </w:r>
          </w:p>
          <w:p>
            <w:pPr>
              <w:jc w:val="center"/>
            </w:pPr>
            <w:r>
              <w:t>(㎡)</w:t>
            </w:r>
          </w:p>
        </w:tc>
        <w:tc>
          <w:tcPr>
            <w:tcW w:w="3675" w:type="dxa"/>
            <w:gridSpan w:val="5"/>
            <w:shd w:val="clear" w:color="auto" w:fill="E6E6E6"/>
            <w:vAlign w:val="center"/>
          </w:tcPr>
          <w:p>
            <w:pPr>
              <w:jc w:val="center"/>
            </w:pPr>
            <w:r>
              <w:t>各中心频率下的吸声系数</w:t>
            </w:r>
          </w:p>
        </w:tc>
        <w:tc>
          <w:tcPr>
            <w:tcW w:w="3509"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continue"/>
            <w:shd w:val="clear" w:color="auto" w:fill="E6E6E6"/>
            <w:vAlign w:val="center"/>
          </w:tcPr>
          <w:p/>
        </w:tc>
        <w:tc>
          <w:tcPr>
            <w:tcW w:w="679" w:type="dxa"/>
            <w:vMerge w:val="continue"/>
            <w:shd w:val="clear" w:color="auto" w:fill="E6E6E6"/>
            <w:vAlign w:val="center"/>
          </w:tcPr>
          <w:p/>
        </w:tc>
        <w:tc>
          <w:tcPr>
            <w:tcW w:w="735" w:type="dxa"/>
            <w:shd w:val="clear" w:color="auto" w:fill="E6E6E6"/>
            <w:vAlign w:val="center"/>
          </w:tcPr>
          <w:p>
            <w:r>
              <w:t>125</w:t>
            </w:r>
          </w:p>
        </w:tc>
        <w:tc>
          <w:tcPr>
            <w:tcW w:w="735" w:type="dxa"/>
            <w:shd w:val="clear" w:color="auto" w:fill="E6E6E6"/>
            <w:vAlign w:val="center"/>
          </w:tcPr>
          <w:p>
            <w:r>
              <w:t>250</w:t>
            </w:r>
          </w:p>
        </w:tc>
        <w:tc>
          <w:tcPr>
            <w:tcW w:w="735" w:type="dxa"/>
            <w:shd w:val="clear" w:color="auto" w:fill="E6E6E6"/>
            <w:vAlign w:val="center"/>
          </w:tcPr>
          <w:p>
            <w:r>
              <w:t>500</w:t>
            </w:r>
          </w:p>
        </w:tc>
        <w:tc>
          <w:tcPr>
            <w:tcW w:w="735" w:type="dxa"/>
            <w:shd w:val="clear" w:color="auto" w:fill="E6E6E6"/>
            <w:vAlign w:val="center"/>
          </w:tcPr>
          <w:p>
            <w:r>
              <w:t>1000</w:t>
            </w:r>
          </w:p>
        </w:tc>
        <w:tc>
          <w:tcPr>
            <w:tcW w:w="735" w:type="dxa"/>
            <w:shd w:val="clear" w:color="auto" w:fill="E6E6E6"/>
            <w:vAlign w:val="center"/>
          </w:tcPr>
          <w:p>
            <w:r>
              <w:t>2000</w:t>
            </w:r>
          </w:p>
        </w:tc>
        <w:tc>
          <w:tcPr>
            <w:tcW w:w="3509"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66.3</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8.1</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内门(M1027)</w:t>
            </w:r>
          </w:p>
        </w:tc>
        <w:tc>
          <w:tcPr>
            <w:tcW w:w="679" w:type="dxa"/>
            <w:shd w:val="clear" w:color="auto" w:fill="E6E6E6"/>
            <w:vAlign w:val="center"/>
          </w:tcPr>
          <w:p>
            <w:r>
              <w:t>2.7</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外窗(C2024)</w:t>
            </w:r>
          </w:p>
        </w:tc>
        <w:tc>
          <w:tcPr>
            <w:tcW w:w="679" w:type="dxa"/>
            <w:shd w:val="clear" w:color="auto" w:fill="E6E6E6"/>
            <w:vAlign w:val="center"/>
          </w:tcPr>
          <w:p>
            <w:r>
              <w:t>4.8</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楼板</w:t>
            </w:r>
          </w:p>
        </w:tc>
        <w:tc>
          <w:tcPr>
            <w:tcW w:w="679" w:type="dxa"/>
            <w:shd w:val="clear" w:color="auto" w:fill="E6E6E6"/>
            <w:vAlign w:val="center"/>
          </w:tcPr>
          <w:p>
            <w:r>
              <w:t>23.8</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2"/>
            <w:shd w:val="clear" w:color="auto" w:fill="E6E6E6"/>
            <w:vAlign w:val="center"/>
          </w:tcPr>
          <w:p>
            <w:r>
              <w:t>总吸声量(㎡)</w:t>
            </w:r>
          </w:p>
        </w:tc>
        <w:tc>
          <w:tcPr>
            <w:tcW w:w="735" w:type="dxa"/>
            <w:vAlign w:val="center"/>
          </w:tcPr>
          <w:p>
            <w:r>
              <w:t>11.9</w:t>
            </w:r>
          </w:p>
        </w:tc>
        <w:tc>
          <w:tcPr>
            <w:tcW w:w="735" w:type="dxa"/>
            <w:vAlign w:val="center"/>
          </w:tcPr>
          <w:p>
            <w:r>
              <w:t>6.5</w:t>
            </w:r>
          </w:p>
        </w:tc>
        <w:tc>
          <w:tcPr>
            <w:tcW w:w="735" w:type="dxa"/>
            <w:vAlign w:val="center"/>
          </w:tcPr>
          <w:p>
            <w:r>
              <w:t>7.0</w:t>
            </w:r>
          </w:p>
        </w:tc>
        <w:tc>
          <w:tcPr>
            <w:tcW w:w="735" w:type="dxa"/>
            <w:vAlign w:val="center"/>
          </w:tcPr>
          <w:p>
            <w:r>
              <w:t>7.7</w:t>
            </w:r>
          </w:p>
        </w:tc>
        <w:tc>
          <w:tcPr>
            <w:tcW w:w="735" w:type="dxa"/>
            <w:vAlign w:val="center"/>
          </w:tcPr>
          <w:p>
            <w:r>
              <w:t>9.4</w:t>
            </w:r>
          </w:p>
        </w:tc>
        <w:tc>
          <w:tcPr>
            <w:tcW w:w="3509" w:type="dxa"/>
            <w:vAlign w:val="center"/>
          </w:tcPr>
          <w:p/>
        </w:tc>
      </w:tr>
    </w:tbl>
    <w:p>
      <w:pPr>
        <w:jc w:val="center"/>
        <w:rPr>
          <w:lang w:val="en-US"/>
        </w:rPr>
      </w:pPr>
      <w:bookmarkStart w:id="50" w:name="围护结构吸声量"/>
      <w:bookmarkEnd w:id="50"/>
    </w:p>
    <w:p>
      <w:pPr>
        <w:pStyle w:val="4"/>
      </w:pPr>
      <w:bookmarkStart w:id="51" w:name="_Toc131692074"/>
      <w:r>
        <w:rPr>
          <w:rFonts w:hint="eastAsia"/>
        </w:rPr>
        <w:t>组合墙</w:t>
      </w:r>
      <w:r>
        <w:t>空气声隔声量计算</w:t>
      </w:r>
      <w:bookmarkEnd w:id="51"/>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2" w:name="_Toc131692075"/>
      <w:r>
        <w:rPr>
          <w:rFonts w:hint="eastAsia"/>
        </w:rPr>
        <w:t>组合墙</w:t>
      </w:r>
      <w:r>
        <w:t>有效隔声量</w:t>
      </w:r>
      <w:bookmarkEnd w:id="52"/>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75pt;width:13.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8.75pt;width:15.7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25pt;width:13.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8.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3" w:name="_Toc131692076"/>
      <w:r>
        <w:rPr>
          <w:rFonts w:hint="eastAsia"/>
        </w:rPr>
        <w:t>组合墙</w:t>
      </w:r>
      <w:r>
        <w:t>隔声单值评价量、频谱修正量</w:t>
      </w:r>
      <w:bookmarkEnd w:id="53"/>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75pt;width:15.7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75pt;width:12.7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5pt;width:12.7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4" w:name="_Toc131692077"/>
      <w:r>
        <w:rPr>
          <w:rFonts w:hint="eastAsia"/>
        </w:rPr>
        <w:t>缝隙对组合墙隔声量的影响</w:t>
      </w:r>
      <w:bookmarkEnd w:id="54"/>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3.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75pt;width:13.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5" w:name="_Toc131692078"/>
      <w:r>
        <w:rPr>
          <w:rFonts w:hint="eastAsia"/>
        </w:rPr>
        <w:t>组合墙隔声量计算过程</w:t>
      </w:r>
      <w:bookmarkEnd w:id="55"/>
    </w:p>
    <w:p>
      <w:pPr>
        <w:pStyle w:val="3"/>
        <w:ind w:firstLine="420" w:firstLineChars="200"/>
        <w:jc w:val="left"/>
      </w:pPr>
      <w:r>
        <w:t>本建筑最不利房间的情况如下图所示：</w:t>
      </w:r>
    </w:p>
    <w:p>
      <w:pPr>
        <w:jc w:val="center"/>
      </w:pPr>
      <w:bookmarkStart w:id="56" w:name="最不利房间平面图"/>
      <w:bookmarkEnd w:id="56"/>
      <w:r>
        <w:rPr>
          <w:lang w:val="en-US"/>
        </w:rPr>
        <w:drawing>
          <wp:inline distT="0" distB="0" distL="0" distR="0">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9328" w:type="dxa"/>
            <w:gridSpan w:val="6"/>
            <w:shd w:val="clear" w:color="auto" w:fill="E6E6E6"/>
            <w:vAlign w:val="center"/>
          </w:tcPr>
          <w:p>
            <w:pPr>
              <w:jc w:val="center"/>
            </w:pPr>
            <w:r>
              <w:t>外墙1+外窗(C2024)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外墙隔声量(dB)</w:t>
            </w:r>
          </w:p>
        </w:tc>
        <w:tc>
          <w:tcPr>
            <w:tcW w:w="1216" w:type="dxa"/>
            <w:vAlign w:val="center"/>
          </w:tcPr>
          <w:p>
            <w:r>
              <w:t>37.8</w:t>
            </w:r>
          </w:p>
        </w:tc>
        <w:tc>
          <w:tcPr>
            <w:tcW w:w="1216" w:type="dxa"/>
            <w:vAlign w:val="center"/>
          </w:tcPr>
          <w:p>
            <w:r>
              <w:t>41.1</w:t>
            </w:r>
          </w:p>
        </w:tc>
        <w:tc>
          <w:tcPr>
            <w:tcW w:w="1216" w:type="dxa"/>
            <w:vAlign w:val="center"/>
          </w:tcPr>
          <w:p>
            <w:r>
              <w:t>44.4</w:t>
            </w:r>
          </w:p>
        </w:tc>
        <w:tc>
          <w:tcPr>
            <w:tcW w:w="1216" w:type="dxa"/>
            <w:vAlign w:val="center"/>
          </w:tcPr>
          <w:p>
            <w:r>
              <w:t>47.7</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外窗(C2024)隔声量(dB)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组合墙实际隔声量(dB)</w:t>
            </w:r>
          </w:p>
        </w:tc>
        <w:tc>
          <w:tcPr>
            <w:tcW w:w="1216" w:type="dxa"/>
            <w:vAlign w:val="center"/>
          </w:tcPr>
          <w:p>
            <w:r>
              <w:t>27.0</w:t>
            </w:r>
          </w:p>
        </w:tc>
        <w:tc>
          <w:tcPr>
            <w:tcW w:w="1216" w:type="dxa"/>
            <w:vAlign w:val="center"/>
          </w:tcPr>
          <w:p>
            <w:r>
              <w:t>34.6</w:t>
            </w:r>
          </w:p>
        </w:tc>
        <w:tc>
          <w:tcPr>
            <w:tcW w:w="1216" w:type="dxa"/>
            <w:vAlign w:val="center"/>
          </w:tcPr>
          <w:p>
            <w:r>
              <w:t>38.5</w:t>
            </w:r>
          </w:p>
        </w:tc>
        <w:tc>
          <w:tcPr>
            <w:tcW w:w="1216" w:type="dxa"/>
            <w:vAlign w:val="center"/>
          </w:tcPr>
          <w:p>
            <w:r>
              <w:t>39.8</w:t>
            </w:r>
          </w:p>
        </w:tc>
        <w:tc>
          <w:tcPr>
            <w:tcW w:w="1216" w:type="dxa"/>
            <w:vAlign w:val="center"/>
          </w:tcPr>
          <w:p>
            <w:r>
              <w:t>44.6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组合墙有效隔声量(dB)</w:t>
            </w:r>
          </w:p>
        </w:tc>
        <w:tc>
          <w:tcPr>
            <w:tcW w:w="1216" w:type="dxa"/>
            <w:vAlign w:val="center"/>
          </w:tcPr>
          <w:p>
            <w:r>
              <w:t>26.7</w:t>
            </w:r>
          </w:p>
        </w:tc>
        <w:tc>
          <w:tcPr>
            <w:tcW w:w="1216" w:type="dxa"/>
            <w:vAlign w:val="center"/>
          </w:tcPr>
          <w:p>
            <w:r>
              <w:t>31.7</w:t>
            </w:r>
          </w:p>
        </w:tc>
        <w:tc>
          <w:tcPr>
            <w:tcW w:w="1216" w:type="dxa"/>
            <w:vAlign w:val="center"/>
          </w:tcPr>
          <w:p>
            <w:r>
              <w:t>35.9</w:t>
            </w:r>
          </w:p>
        </w:tc>
        <w:tc>
          <w:tcPr>
            <w:tcW w:w="1216" w:type="dxa"/>
            <w:vAlign w:val="center"/>
          </w:tcPr>
          <w:p>
            <w:r>
              <w:t>37.6</w:t>
            </w:r>
          </w:p>
        </w:tc>
        <w:tc>
          <w:tcPr>
            <w:tcW w:w="1216" w:type="dxa"/>
            <w:vAlign w:val="center"/>
          </w:tcPr>
          <w:p>
            <w:r>
              <w:t>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组合墙计权隔声量(dB)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组合墙隔声量(dB)</w:t>
            </w:r>
          </w:p>
        </w:tc>
        <w:tc>
          <w:tcPr>
            <w:tcW w:w="6080"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组合墙面积(㎡)</w:t>
            </w:r>
          </w:p>
        </w:tc>
        <w:tc>
          <w:tcPr>
            <w:tcW w:w="6080" w:type="dxa"/>
            <w:gridSpan w:val="5"/>
            <w:vAlign w:val="center"/>
          </w:tcPr>
          <w:p>
            <w:r>
              <w:t>12.9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门/窗与墙缝隙面积(㎡)</w:t>
            </w:r>
          </w:p>
        </w:tc>
        <w:tc>
          <w:tcPr>
            <w:tcW w:w="6080" w:type="dxa"/>
            <w:gridSpan w:val="5"/>
            <w:vAlign w:val="center"/>
          </w:tcPr>
          <w:p>
            <w:r>
              <w:t>0.088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门/窗与墙缝隙对隔声量影响(dB)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48" w:type="dxa"/>
            <w:shd w:val="clear" w:color="auto" w:fill="E6E6E6"/>
            <w:vAlign w:val="center"/>
          </w:tcPr>
          <w:p>
            <w:r>
              <w:t>计算缝隙后组合墙隔声量(dB)</w:t>
            </w:r>
          </w:p>
        </w:tc>
        <w:tc>
          <w:tcPr>
            <w:tcW w:w="6080" w:type="dxa"/>
            <w:gridSpan w:val="5"/>
            <w:vAlign w:val="center"/>
          </w:tcPr>
          <w:p>
            <w:r>
              <w:t>21</w:t>
            </w:r>
          </w:p>
        </w:tc>
      </w:tr>
    </w:tbl>
    <w:p>
      <w:pPr>
        <w:jc w:val="center"/>
        <w:rPr>
          <w:lang w:val="en-US"/>
        </w:rPr>
      </w:pPr>
      <w:bookmarkStart w:id="57" w:name="组合墙隔声量"/>
      <w:bookmarkEnd w:id="57"/>
    </w:p>
    <w:p>
      <w:pPr>
        <w:pStyle w:val="4"/>
      </w:pPr>
      <w:bookmarkStart w:id="58" w:name="_Toc131692079"/>
      <w:r>
        <w:rPr>
          <w:rFonts w:hint="eastAsia"/>
        </w:rPr>
        <w:t>室外环境噪声通过组合墙传到室内的噪声级计算</w:t>
      </w:r>
      <w:bookmarkEnd w:id="58"/>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2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25pt;width:33.7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2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2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2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restart"/>
            <w:shd w:val="clear" w:color="auto" w:fill="E6E6E6"/>
            <w:vAlign w:val="center"/>
          </w:tcPr>
          <w:p>
            <w:r>
              <w:t>外围护结构</w:t>
            </w:r>
          </w:p>
        </w:tc>
        <w:tc>
          <w:tcPr>
            <w:tcW w:w="2036" w:type="dxa"/>
            <w:gridSpan w:val="2"/>
            <w:shd w:val="clear" w:color="auto" w:fill="E6E6E6"/>
            <w:vAlign w:val="center"/>
          </w:tcPr>
          <w:p>
            <w:pPr>
              <w:jc w:val="center"/>
            </w:pPr>
            <w:r>
              <w:t>室外噪声级(dB,A)</w:t>
            </w:r>
          </w:p>
        </w:tc>
        <w:tc>
          <w:tcPr>
            <w:tcW w:w="1358" w:type="dxa"/>
            <w:gridSpan w:val="2"/>
            <w:shd w:val="clear" w:color="auto" w:fill="E6E6E6"/>
            <w:vAlign w:val="center"/>
          </w:tcPr>
          <w:p>
            <w:pPr>
              <w:jc w:val="center"/>
            </w:pPr>
            <w:r>
              <w:t>隔声量(dB)</w:t>
            </w:r>
          </w:p>
        </w:tc>
        <w:tc>
          <w:tcPr>
            <w:tcW w:w="2036"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continue"/>
            <w:shd w:val="clear" w:color="auto" w:fill="E6E6E6"/>
            <w:vAlign w:val="center"/>
          </w:tcPr>
          <w:p/>
        </w:tc>
        <w:tc>
          <w:tcPr>
            <w:tcW w:w="1018" w:type="dxa"/>
            <w:shd w:val="clear" w:color="auto" w:fill="E6E6E6"/>
            <w:vAlign w:val="center"/>
          </w:tcPr>
          <w:p>
            <w:r>
              <w:t>昼间</w:t>
            </w:r>
          </w:p>
        </w:tc>
        <w:tc>
          <w:tcPr>
            <w:tcW w:w="1018" w:type="dxa"/>
            <w:shd w:val="clear" w:color="auto" w:fill="E6E6E6"/>
            <w:vAlign w:val="center"/>
          </w:tcPr>
          <w:p>
            <w:r>
              <w:t>夜间</w:t>
            </w:r>
          </w:p>
        </w:tc>
        <w:tc>
          <w:tcPr>
            <w:tcW w:w="679" w:type="dxa"/>
            <w:shd w:val="clear" w:color="auto" w:fill="E6E6E6"/>
            <w:vAlign w:val="center"/>
          </w:tcPr>
          <w:p>
            <w:r>
              <w:t>昼间</w:t>
            </w:r>
          </w:p>
        </w:tc>
        <w:tc>
          <w:tcPr>
            <w:tcW w:w="679" w:type="dxa"/>
            <w:shd w:val="clear" w:color="auto" w:fill="E6E6E6"/>
            <w:vAlign w:val="center"/>
          </w:tcPr>
          <w:p>
            <w:r>
              <w:t>夜间</w:t>
            </w:r>
          </w:p>
        </w:tc>
        <w:tc>
          <w:tcPr>
            <w:tcW w:w="1018" w:type="dxa"/>
            <w:shd w:val="clear" w:color="auto" w:fill="E6E6E6"/>
            <w:vAlign w:val="center"/>
          </w:tcPr>
          <w:p>
            <w:r>
              <w:t>昼间</w:t>
            </w:r>
          </w:p>
        </w:tc>
        <w:tc>
          <w:tcPr>
            <w:tcW w:w="1018"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外墙1+外窗(C2024)</w:t>
            </w:r>
          </w:p>
        </w:tc>
        <w:tc>
          <w:tcPr>
            <w:tcW w:w="1018" w:type="dxa"/>
            <w:vAlign w:val="center"/>
          </w:tcPr>
          <w:p>
            <w:r>
              <w:t>55</w:t>
            </w:r>
          </w:p>
        </w:tc>
        <w:tc>
          <w:tcPr>
            <w:tcW w:w="1018" w:type="dxa"/>
            <w:vAlign w:val="center"/>
          </w:tcPr>
          <w:p>
            <w:r>
              <w:t>45</w:t>
            </w:r>
          </w:p>
        </w:tc>
        <w:tc>
          <w:tcPr>
            <w:tcW w:w="679" w:type="dxa"/>
            <w:vAlign w:val="center"/>
          </w:tcPr>
          <w:p>
            <w:r>
              <w:t>21</w:t>
            </w:r>
          </w:p>
        </w:tc>
        <w:tc>
          <w:tcPr>
            <w:tcW w:w="679" w:type="dxa"/>
            <w:vAlign w:val="center"/>
          </w:tcPr>
          <w:p>
            <w:r>
              <w:t>21</w:t>
            </w:r>
          </w:p>
        </w:tc>
        <w:tc>
          <w:tcPr>
            <w:tcW w:w="1018" w:type="dxa"/>
            <w:vAlign w:val="center"/>
          </w:tcPr>
          <w:p>
            <w:r>
              <w:t>34</w:t>
            </w:r>
          </w:p>
        </w:tc>
        <w:tc>
          <w:tcPr>
            <w:tcW w:w="1018" w:type="dxa"/>
            <w:vAlign w:val="center"/>
          </w:tcPr>
          <w:p>
            <w:r>
              <w:t>24</w:t>
            </w:r>
          </w:p>
        </w:tc>
      </w:tr>
    </w:tbl>
    <w:p>
      <w:pPr>
        <w:jc w:val="center"/>
      </w:pPr>
      <w:bookmarkStart w:id="59" w:name="组合墙传到室内噪声级"/>
      <w:bookmarkEnd w:id="59"/>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60" w:name="昼间室外传声"/>
      <w:r>
        <w:rPr>
          <w:rFonts w:hint="eastAsia"/>
          <w:bCs/>
          <w:lang w:val="en-US"/>
        </w:rPr>
        <w:t>34</w:t>
      </w:r>
      <w:bookmarkEnd w:id="60"/>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61" w:name="夜间室外传声"/>
      <w:r>
        <w:rPr>
          <w:rFonts w:hint="eastAsia"/>
          <w:bCs/>
          <w:lang w:val="en-US"/>
        </w:rPr>
        <w:t>24</w:t>
      </w:r>
      <w:bookmarkEnd w:id="61"/>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62" w:name="_Toc131692080"/>
      <w:r>
        <w:rPr>
          <w:rFonts w:hint="eastAsia"/>
        </w:rPr>
        <w:t>室内声源的影响</w:t>
      </w:r>
      <w:bookmarkEnd w:id="62"/>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25pt;width:15.7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w:t>
            </w:r>
          </w:p>
        </w:tc>
        <w:tc>
          <w:tcPr>
            <w:tcW w:w="4662" w:type="dxa"/>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63" w:name="建筑内声源传声"/>
      <w:bookmarkEnd w:id="63"/>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4" w:name="_Toc131692081"/>
      <w:r>
        <w:rPr>
          <w:rFonts w:hint="eastAsia"/>
        </w:rPr>
        <w:t>室内噪声级计算</w:t>
      </w:r>
      <w:bookmarkEnd w:id="64"/>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25pt;width:15.7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2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25pt;width:15.7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8"/>
        <w:gridCol w:w="707"/>
        <w:gridCol w:w="707"/>
        <w:gridCol w:w="2151"/>
        <w:gridCol w:w="2151"/>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shd w:val="clear" w:color="auto" w:fill="E6E6E6"/>
            <w:vAlign w:val="center"/>
          </w:tcPr>
          <w:p>
            <w:r>
              <w:t>房间类型</w:t>
            </w:r>
          </w:p>
        </w:tc>
        <w:tc>
          <w:tcPr>
            <w:tcW w:w="1414" w:type="dxa"/>
            <w:gridSpan w:val="2"/>
            <w:shd w:val="clear" w:color="auto" w:fill="E6E6E6"/>
            <w:vAlign w:val="center"/>
          </w:tcPr>
          <w:p>
            <w:pPr>
              <w:jc w:val="center"/>
            </w:pPr>
            <w:r>
              <w:t>室内噪声级</w:t>
            </w:r>
          </w:p>
        </w:tc>
        <w:tc>
          <w:tcPr>
            <w:tcW w:w="4300"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150" w:type="dxa"/>
            <w:shd w:val="clear" w:color="auto" w:fill="E6E6E6"/>
            <w:vAlign w:val="center"/>
          </w:tcPr>
          <w:p>
            <w:pPr>
              <w:jc w:val="center"/>
            </w:pPr>
            <w:r>
              <w:t>昼间</w:t>
            </w:r>
          </w:p>
        </w:tc>
        <w:tc>
          <w:tcPr>
            <w:tcW w:w="2150" w:type="dxa"/>
            <w:shd w:val="clear" w:color="auto" w:fill="E6E6E6"/>
            <w:vAlign w:val="center"/>
          </w:tcPr>
          <w:p>
            <w:pPr>
              <w:jc w:val="center"/>
            </w:pPr>
            <w:r>
              <w:t>夜间</w:t>
            </w:r>
          </w:p>
        </w:tc>
        <w:tc>
          <w:tcPr>
            <w:tcW w:w="1567"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shd w:val="clear" w:color="auto" w:fill="E6E6E6"/>
            <w:vAlign w:val="center"/>
          </w:tcPr>
          <w:p>
            <w:r>
              <w:t>卧室</w:t>
            </w:r>
          </w:p>
        </w:tc>
        <w:tc>
          <w:tcPr>
            <w:tcW w:w="707" w:type="dxa"/>
            <w:vAlign w:val="center"/>
          </w:tcPr>
          <w:p>
            <w:pPr>
              <w:jc w:val="center"/>
            </w:pPr>
            <w:r>
              <w:t>34</w:t>
            </w:r>
          </w:p>
        </w:tc>
        <w:tc>
          <w:tcPr>
            <w:tcW w:w="707" w:type="dxa"/>
            <w:vAlign w:val="center"/>
          </w:tcPr>
          <w:p>
            <w:pPr>
              <w:jc w:val="center"/>
            </w:pPr>
            <w:r>
              <w:t>24</w:t>
            </w:r>
          </w:p>
        </w:tc>
        <w:tc>
          <w:tcPr>
            <w:tcW w:w="2150" w:type="dxa"/>
            <w:vAlign w:val="center"/>
          </w:tcPr>
          <w:p>
            <w:pPr>
              <w:jc w:val="center"/>
            </w:pPr>
            <w:r>
              <w:t>低限:≤45,高要求:≤40</w:t>
            </w:r>
          </w:p>
        </w:tc>
        <w:tc>
          <w:tcPr>
            <w:tcW w:w="2150" w:type="dxa"/>
            <w:vAlign w:val="center"/>
          </w:tcPr>
          <w:p>
            <w:pPr>
              <w:jc w:val="center"/>
            </w:pPr>
            <w:r>
              <w:t>低限:≤37,高要求:≤30</w:t>
            </w:r>
          </w:p>
        </w:tc>
        <w:tc>
          <w:tcPr>
            <w:tcW w:w="1567" w:type="dxa"/>
            <w:vAlign w:val="center"/>
          </w:tcPr>
          <w:p>
            <w:pPr>
              <w:jc w:val="center"/>
            </w:pPr>
            <w:r>
              <w:t>满足高要求</w:t>
            </w:r>
          </w:p>
        </w:tc>
      </w:tr>
    </w:tbl>
    <w:p>
      <w:pPr>
        <w:jc w:val="center"/>
      </w:pPr>
      <w:bookmarkStart w:id="65" w:name="最不利房间室内噪声级统计"/>
      <w:bookmarkEnd w:id="65"/>
    </w:p>
    <w:p>
      <w:pPr>
        <w:jc w:val="right"/>
      </w:pPr>
      <w:r>
        <w:t>表5.11  主要功能房间最不利房间室内噪声值         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1756"/>
        <w:gridCol w:w="707"/>
        <w:gridCol w:w="707"/>
        <w:gridCol w:w="707"/>
        <w:gridCol w:w="707"/>
        <w:gridCol w:w="849"/>
        <w:gridCol w:w="849"/>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房间类型</w:t>
            </w:r>
          </w:p>
        </w:tc>
        <w:tc>
          <w:tcPr>
            <w:tcW w:w="1754"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rPr>
                <w:rFonts w:hint="eastAsia" w:eastAsia="微软雅黑"/>
                <w:lang w:eastAsia="zh-CN"/>
              </w:rPr>
            </w:pPr>
            <w:r>
              <w:t>室外传到室内</w:t>
            </w:r>
          </w:p>
          <w:p>
            <w:pPr>
              <w:jc w:val="center"/>
            </w:pPr>
            <w:r>
              <w:t>噪声级</w:t>
            </w:r>
          </w:p>
        </w:tc>
        <w:tc>
          <w:tcPr>
            <w:tcW w:w="1414" w:type="dxa"/>
            <w:gridSpan w:val="2"/>
            <w:shd w:val="clear" w:color="auto" w:fill="E6E6E6"/>
            <w:vAlign w:val="center"/>
          </w:tcPr>
          <w:p>
            <w:pPr>
              <w:jc w:val="center"/>
              <w:rPr>
                <w:rFonts w:hint="eastAsia" w:eastAsia="微软雅黑"/>
                <w:lang w:eastAsia="zh-CN"/>
              </w:rPr>
            </w:pPr>
            <w:r>
              <w:t>室内设备</w:t>
            </w:r>
          </w:p>
          <w:p>
            <w:pPr>
              <w:jc w:val="center"/>
            </w:pPr>
            <w:r>
              <w:t>噪声级</w:t>
            </w:r>
          </w:p>
        </w:tc>
        <w:tc>
          <w:tcPr>
            <w:tcW w:w="1696" w:type="dxa"/>
            <w:gridSpan w:val="2"/>
            <w:shd w:val="clear" w:color="auto" w:fill="E6E6E6"/>
            <w:vAlign w:val="center"/>
          </w:tcPr>
          <w:p>
            <w:pPr>
              <w:jc w:val="center"/>
              <w:rPr>
                <w:rFonts w:hint="eastAsia" w:eastAsia="微软雅黑"/>
                <w:lang w:eastAsia="zh-CN"/>
              </w:rPr>
            </w:pPr>
            <w:r>
              <w:t>相邻房间设备</w:t>
            </w:r>
          </w:p>
          <w:p>
            <w:pPr>
              <w:jc w:val="center"/>
            </w:pP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754"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卧室</w:t>
            </w:r>
          </w:p>
        </w:tc>
        <w:tc>
          <w:tcPr>
            <w:tcW w:w="1754" w:type="dxa"/>
            <w:vAlign w:val="center"/>
          </w:tcPr>
          <w:p>
            <w:r>
              <w:t>1004,1005,1006,1007,...</w:t>
            </w:r>
          </w:p>
        </w:tc>
        <w:tc>
          <w:tcPr>
            <w:tcW w:w="707" w:type="dxa"/>
            <w:vAlign w:val="center"/>
          </w:tcPr>
          <w:p>
            <w:pPr>
              <w:jc w:val="center"/>
            </w:pPr>
            <w:r>
              <w:t>34</w:t>
            </w:r>
          </w:p>
        </w:tc>
        <w:tc>
          <w:tcPr>
            <w:tcW w:w="707" w:type="dxa"/>
            <w:vAlign w:val="center"/>
          </w:tcPr>
          <w:p>
            <w:pPr>
              <w:jc w:val="center"/>
            </w:pPr>
            <w:r>
              <w:t>24</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34</w:t>
            </w:r>
          </w:p>
        </w:tc>
        <w:tc>
          <w:tcPr>
            <w:tcW w:w="673" w:type="dxa"/>
            <w:vAlign w:val="center"/>
          </w:tcPr>
          <w:p>
            <w:pPr>
              <w:jc w:val="center"/>
            </w:pPr>
            <w:r>
              <w:rPr>
                <w:b/>
              </w:rPr>
              <w:t>24</w:t>
            </w:r>
          </w:p>
        </w:tc>
      </w:tr>
    </w:tbl>
    <w:p>
      <w:pPr>
        <w:jc w:val="right"/>
      </w:pPr>
    </w:p>
    <w:p>
      <w:pPr>
        <w:jc w:val="right"/>
      </w:pPr>
    </w:p>
    <w:bookmarkEnd w:id="31"/>
    <w:p>
      <w:pPr>
        <w:pStyle w:val="2"/>
        <w:rPr>
          <w:kern w:val="2"/>
        </w:rPr>
      </w:pPr>
      <w:bookmarkStart w:id="66" w:name="_Toc131692082"/>
      <w:r>
        <w:rPr>
          <w:rFonts w:hint="eastAsia"/>
          <w:kern w:val="2"/>
        </w:rPr>
        <w:t>结论</w:t>
      </w:r>
      <w:bookmarkEnd w:id="66"/>
    </w:p>
    <w:p>
      <w:pPr>
        <w:pStyle w:val="3"/>
        <w:ind w:firstLine="420" w:firstLineChars="200"/>
        <w:rPr>
          <w:rFonts w:ascii="宋体" w:hAnsi="宋体"/>
        </w:rPr>
      </w:pPr>
      <w:r>
        <w:t>根据</w:t>
      </w:r>
      <w:bookmarkStart w:id="67" w:name="地方标准名称3"/>
      <w:r>
        <w:t>《绿色建筑评价标准》（京津冀）DB11/T 825-2021</w:t>
      </w:r>
      <w:bookmarkEnd w:id="67"/>
      <w:r>
        <w:rPr>
          <w:rFonts w:hint="eastAsia"/>
        </w:rPr>
        <w:t>、</w:t>
      </w:r>
      <w:r>
        <w:t>《绿色建筑评价标准》GB/T50378-2019和《民用建筑隔声设计规范》GB50118-2010评价要求，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8" w:name="最不利房间编号"/>
      <w:r>
        <w:t>1004房间,房间类型[卧室]</w:t>
      </w:r>
      <w:bookmarkEnd w:id="68"/>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954"/>
        <w:gridCol w:w="1417"/>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954" w:type="dxa"/>
            <w:shd w:val="clear" w:color="auto" w:fill="E6E6E6"/>
          </w:tcPr>
          <w:p>
            <w:pPr>
              <w:pStyle w:val="3"/>
              <w:jc w:val="center"/>
              <w:rPr>
                <w:sz w:val="18"/>
                <w:szCs w:val="18"/>
              </w:rPr>
            </w:pPr>
            <w:r>
              <w:rPr>
                <w:rFonts w:hint="eastAsia"/>
                <w:sz w:val="18"/>
                <w:szCs w:val="18"/>
              </w:rPr>
              <w:t>评价</w:t>
            </w:r>
            <w:r>
              <w:rPr>
                <w:sz w:val="18"/>
                <w:szCs w:val="18"/>
              </w:rPr>
              <w:t>依据</w:t>
            </w:r>
          </w:p>
        </w:tc>
        <w:tc>
          <w:tcPr>
            <w:tcW w:w="1417"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954"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417" w:type="dxa"/>
            <w:vAlign w:val="center"/>
          </w:tcPr>
          <w:p>
            <w:pPr>
              <w:jc w:val="center"/>
            </w:pPr>
            <w:bookmarkStart w:id="69" w:name="室内噪声控制项结论"/>
            <w:r>
              <w:t>满足</w:t>
            </w:r>
            <w:bookmarkEnd w:id="69"/>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954" w:type="dxa"/>
          </w:tcPr>
          <w:p>
            <w:pPr>
              <w:pStyle w:val="3"/>
              <w:rPr>
                <w:b/>
                <w:sz w:val="18"/>
                <w:szCs w:val="18"/>
              </w:rPr>
            </w:pPr>
            <w:r>
              <w:rPr>
                <w:rFonts w:hint="eastAsia"/>
                <w:b/>
                <w:sz w:val="18"/>
                <w:szCs w:val="18"/>
              </w:rPr>
              <w:t>评分项：</w:t>
            </w:r>
          </w:p>
          <w:p>
            <w:pPr>
              <w:pStyle w:val="3"/>
              <w:rPr>
                <w:sz w:val="18"/>
                <w:szCs w:val="18"/>
              </w:rPr>
            </w:pPr>
            <w:bookmarkStart w:id="70" w:name="室内噪声级条文内容2"/>
            <w:bookmarkEnd w:id="70"/>
            <w:r>
              <w:rPr>
                <w:sz w:val="18"/>
                <w:szCs w:val="18"/>
              </w:rPr>
              <w:t>5.2.6 采取措施优化主要功能房间的室内声环境，评价总分值为 8 分。</w:t>
            </w:r>
          </w:p>
          <w:p>
            <w:pPr>
              <w:pStyle w:val="3"/>
              <w:rPr>
                <w:sz w:val="18"/>
                <w:szCs w:val="18"/>
              </w:rPr>
            </w:pPr>
            <w:r>
              <w:rPr>
                <w:sz w:val="18"/>
                <w:szCs w:val="18"/>
              </w:rPr>
              <w:t xml:space="preserve">    噪声级达到现行国家标准《民用建筑隔声设计规范 》 GB 50118 中的低限标准限值和高要求标准限值的平均值，得 4 分；达到高要求标准限值，得 8 分 。</w:t>
            </w:r>
          </w:p>
        </w:tc>
        <w:tc>
          <w:tcPr>
            <w:tcW w:w="1417" w:type="dxa"/>
            <w:vAlign w:val="center"/>
          </w:tcPr>
          <w:p>
            <w:pPr>
              <w:jc w:val="center"/>
            </w:pPr>
            <w:bookmarkStart w:id="71" w:name="室内噪声评分项结论"/>
            <w:r>
              <w:t>满足高要求</w:t>
            </w:r>
            <w:bookmarkEnd w:id="71"/>
          </w:p>
        </w:tc>
        <w:tc>
          <w:tcPr>
            <w:tcW w:w="724" w:type="dxa"/>
            <w:vAlign w:val="center"/>
          </w:tcPr>
          <w:p>
            <w:pPr>
              <w:jc w:val="center"/>
              <w:rPr>
                <w:b/>
                <w:bCs/>
              </w:rPr>
            </w:pPr>
            <w:bookmarkStart w:id="72" w:name="室内噪声得分"/>
            <w:r>
              <w:rPr>
                <w:b/>
                <w:bCs/>
              </w:rPr>
              <w:t>8</w:t>
            </w:r>
            <w:bookmarkEnd w:id="72"/>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color w:val="auto"/>
        <w:u w:val="none"/>
      </w:rPr>
      <w:t>http://www.gbsware.cn/</w:t>
    </w:r>
    <w:r>
      <w:rPr>
        <w:rStyle w:val="24"/>
        <w:color w:val="auto"/>
        <w:u w:val="none"/>
      </w:rPr>
      <w:fldChar w:fldCharType="end"/>
    </w:r>
    <w:r>
      <w:ptab w:relativeTo="margin" w:alignment="center" w:leader="none"/>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ZjMxN2Y2MTJhMGYyOTNiNjY1N2U5NDlhZTYwNGYifQ=="/>
    <w:docVar w:name="KSO_WPS_MARK_KEY" w:val="a0174da0-e53e-4807-8e7b-ecf111b621dd"/>
  </w:docVars>
  <w:rsids>
    <w:rsidRoot w:val="00010EA2"/>
    <w:rsid w:val="000057CC"/>
    <w:rsid w:val="00010EA2"/>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4A1"/>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2B17"/>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 w:val="2F1B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5"/>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标题 2 Char"/>
    <w:link w:val="4"/>
    <w:qFormat/>
    <w:uiPriority w:val="0"/>
    <w:rPr>
      <w:rFonts w:ascii="微软雅黑" w:hAnsi="微软雅黑" w:eastAsia="微软雅黑" w:cs="微软雅黑"/>
      <w:b/>
      <w:bCs/>
      <w:iCs/>
      <w:color w:val="000000"/>
      <w:sz w:val="24"/>
      <w:szCs w:val="24"/>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9BBE4-C694-4A2D-8296-C88F613AACB0}">
  <ds:schemaRefs/>
</ds:datastoreItem>
</file>

<file path=docProps/app.xml><?xml version="1.0" encoding="utf-8"?>
<Properties xmlns="http://schemas.openxmlformats.org/officeDocument/2006/extended-properties" xmlns:vt="http://schemas.openxmlformats.org/officeDocument/2006/docPropsVTypes">
  <Template>tmp3.dotx</Template>
  <Company>ths</Company>
  <Pages>11</Pages>
  <Words>4851</Words>
  <Characters>5863</Characters>
  <Lines>61</Lines>
  <Paragraphs>17</Paragraphs>
  <TotalTime>0</TotalTime>
  <ScaleCrop>false</ScaleCrop>
  <LinksUpToDate>false</LinksUpToDate>
  <CharactersWithSpaces>6075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2023-04-06T08:47:00Z</dcterms:created>
  <dc:creator>USER-</dc:creator>
  <cp:lastModifiedBy>马马小赫</cp:lastModifiedBy>
  <cp:lastPrinted>1900-12-31T16:00:00Z</cp:lastPrinted>
  <dcterms:modified xsi:type="dcterms:W3CDTF">2023-04-07T05:56:47Z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5D6628978CF44092BD4ECE41CA1531ED</vt:lpwstr>
  </property>
</Properties>
</file>