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ind w:left="180" w:right="180"/>
        <w:rPr>
          <w:b/>
          <w:bCs/>
          <w:sz w:val="72"/>
          <w:szCs w:val="72"/>
        </w:rPr>
      </w:pPr>
    </w:p>
    <w:p>
      <w:pPr>
        <w:spacing w:before="312" w:beforeLines="100" w:line="180" w:lineRule="atLeast"/>
        <w:ind w:left="180" w:right="180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>
      <w:pPr>
        <w:pStyle w:val="32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0" w:name="工程名称"/>
            <w:r>
              <w:t>镇平县雪枫第二实验学校幼儿园项目-教学楼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1" w:name="设计编号"/>
            <w:r>
              <w:t>20230601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2" w:name="建设单位"/>
            <w:r>
              <w:t>镇平县教育体育局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3" w:name="设计单位"/>
            <w:r>
              <w:t>河南天工建设集团有限公司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4" w:name="审核人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5" w:name="审定人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6" w:name="计算日期"/>
            <w:r>
              <w:t>2023年6月5日</w:t>
            </w:r>
            <w:bookmarkEnd w:id="6"/>
          </w:p>
        </w:tc>
      </w:tr>
    </w:tbl>
    <w:p>
      <w:pPr>
        <w:pStyle w:val="32"/>
        <w:rPr>
          <w:sz w:val="30"/>
          <w:szCs w:val="32"/>
        </w:rPr>
      </w:pPr>
    </w:p>
    <w:p>
      <w:pPr>
        <w:pStyle w:val="32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324100" cy="2324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434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2"/>
        <w:jc w:val="center"/>
        <w:rPr>
          <w:sz w:val="30"/>
          <w:szCs w:val="32"/>
        </w:rPr>
      </w:pPr>
    </w:p>
    <w:p>
      <w:pPr>
        <w:pStyle w:val="32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</w:pPr>
            <w:bookmarkStart w:id="8" w:name="采用软件"/>
            <w:r>
              <w:rPr>
                <w:rFonts w:hint="eastAsia"/>
              </w:rPr>
              <w:t>采光分析DALI2023维尔采光分析DALI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20220401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bookmarkStart w:id="10" w:name="研发单位"/>
            <w:r>
              <w:t>北京绿建软件股份有限公司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bookmarkStart w:id="11" w:name="正版授权码"/>
            <w:r>
              <w:t>T15225683339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pStyle w:val="32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>
            <w:pPr>
              <w:pStyle w:val="32"/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>
      <w:pPr>
        <w:ind w:left="180" w:right="180" w:firstLine="420"/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ind w:left="180" w:right="180" w:firstLine="560"/>
        <w:rPr>
          <w:sz w:val="28"/>
          <w:szCs w:val="28"/>
        </w:rPr>
      </w:pPr>
      <w:bookmarkStart w:id="55" w:name="_GoBack"/>
      <w:bookmarkStart w:id="12" w:name="目录"/>
      <w:r>
        <w:rPr>
          <w:rFonts w:hint="eastAsia"/>
          <w:sz w:val="28"/>
          <w:szCs w:val="28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_Toc9194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1. 建筑</w:t>
      </w:r>
      <w:r>
        <w:rPr>
          <w:rFonts w:ascii="微软雅黑" w:hAnsi="微软雅黑"/>
        </w:rPr>
        <w:t>概况</w:t>
      </w:r>
      <w:r>
        <w:tab/>
      </w:r>
      <w:r>
        <w:fldChar w:fldCharType="begin"/>
      </w:r>
      <w:r>
        <w:instrText xml:space="preserve"> PAGEREF _Toc9194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_Toc7411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2. 分析目的</w:t>
      </w:r>
      <w:r>
        <w:tab/>
      </w:r>
      <w:r>
        <w:fldChar w:fldCharType="begin"/>
      </w:r>
      <w:r>
        <w:instrText xml:space="preserve"> PAGEREF _Toc7411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_Toc16090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3. 分析依据</w:t>
      </w:r>
      <w:r>
        <w:tab/>
      </w:r>
      <w:r>
        <w:fldChar w:fldCharType="begin"/>
      </w:r>
      <w:r>
        <w:instrText xml:space="preserve"> PAGEREF _Toc16090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_Toc22868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_Toc22868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_Toc21446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_Toc21446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_Toc26496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4. 应用软件与计算方法</w:t>
      </w:r>
      <w:r>
        <w:tab/>
      </w:r>
      <w:r>
        <w:fldChar w:fldCharType="begin"/>
      </w:r>
      <w:r>
        <w:instrText xml:space="preserve"> PAGEREF _Toc26496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_Toc16662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_Toc16662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_Toc23608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_Toc23608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_Toc8339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5. 计算参数选用</w:t>
      </w:r>
      <w:r>
        <w:tab/>
      </w:r>
      <w:r>
        <w:fldChar w:fldCharType="begin"/>
      </w:r>
      <w:r>
        <w:instrText xml:space="preserve"> PAGEREF _Toc8339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_Toc10731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_Toc10731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_Toc919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_Toc919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_Toc27305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_Toc27305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_Toc6564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_Toc6564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_Toc24274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6. 眩光分析结果</w:t>
      </w:r>
      <w:r>
        <w:tab/>
      </w:r>
      <w:r>
        <w:fldChar w:fldCharType="begin"/>
      </w:r>
      <w:r>
        <w:instrText xml:space="preserve"> PAGEREF _Toc24274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_Toc23766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_Toc23766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_Toc28238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_Toc28238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_Toc31440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7. 评价结论</w:t>
      </w:r>
      <w:r>
        <w:tab/>
      </w:r>
      <w:r>
        <w:fldChar w:fldCharType="begin"/>
      </w:r>
      <w:r>
        <w:instrText xml:space="preserve"> PAGEREF _Toc31440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_Toc10301 </w:instrText>
      </w:r>
      <w:r>
        <w:rPr>
          <w:szCs w:val="28"/>
        </w:rPr>
        <w:fldChar w:fldCharType="separate"/>
      </w:r>
      <w:r>
        <w:rPr>
          <w:rFonts w:hint="eastAsia" w:ascii="微软雅黑" w:hAnsi="微软雅黑"/>
        </w:rPr>
        <w:t>8. 附：</w:t>
      </w:r>
      <w:r>
        <w:rPr>
          <w:rFonts w:ascii="微软雅黑" w:hAnsi="微软雅黑"/>
        </w:rPr>
        <w:t>项目总平面图</w:t>
      </w:r>
      <w:r>
        <w:tab/>
      </w:r>
      <w:r>
        <w:fldChar w:fldCharType="begin"/>
      </w:r>
      <w:r>
        <w:instrText xml:space="preserve"> PAGEREF _Toc10301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55"/>
      <w:bookmarkEnd w:id="12"/>
    </w:p>
    <w:p>
      <w:pPr>
        <w:pStyle w:val="2"/>
        <w:rPr>
          <w:rFonts w:ascii="微软雅黑" w:hAnsi="微软雅黑"/>
        </w:rPr>
      </w:pPr>
      <w:bookmarkStart w:id="13" w:name="_Toc9194"/>
      <w:r>
        <w:rPr>
          <w:rFonts w:hint="eastAsia" w:ascii="微软雅黑" w:hAnsi="微软雅黑"/>
        </w:rPr>
        <w:t>建筑</w:t>
      </w:r>
      <w:r>
        <w:rPr>
          <w:rFonts w:ascii="微软雅黑" w:hAnsi="微软雅黑"/>
        </w:rP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21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>
            <w:pPr>
              <w:pStyle w:val="32"/>
              <w:rPr>
                <w:lang w:val="en-US"/>
              </w:rPr>
            </w:pPr>
            <w:bookmarkStart w:id="14" w:name="光气候分区"/>
            <w:r>
              <w:rPr>
                <w:lang w:val="en-US"/>
              </w:rPr>
              <w:t>IV</w:t>
            </w:r>
            <w:bookmarkEnd w:id="14"/>
          </w:p>
        </w:tc>
        <w:tc>
          <w:tcPr>
            <w:tcW w:w="1800" w:type="dxa"/>
            <w:shd w:val="clear" w:color="auto" w:fill="E0E0E0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>
            <w:pPr>
              <w:pStyle w:val="32"/>
              <w:rPr>
                <w:lang w:val="en-US"/>
              </w:rPr>
            </w:pPr>
            <w:bookmarkStart w:id="15" w:name="光气候系数K"/>
            <w:r>
              <w:rPr>
                <w:lang w:val="en-US"/>
              </w:rPr>
              <w:t>1.10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2738.50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0.00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3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0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15.60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0.00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pStyle w:val="32"/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>
            <w:pPr>
              <w:pStyle w:val="32"/>
              <w:rPr>
                <w:lang w:val="en-US"/>
              </w:rPr>
            </w:pPr>
          </w:p>
        </w:tc>
      </w:tr>
    </w:tbl>
    <w:p>
      <w:pPr>
        <w:pStyle w:val="3"/>
        <w:ind w:firstLine="420"/>
        <w:rPr>
          <w:rFonts w:ascii="微软雅黑" w:hAnsi="微软雅黑" w:eastAsia="微软雅黑"/>
          <w:lang w:val="en-US"/>
        </w:rPr>
      </w:pPr>
    </w:p>
    <w:p>
      <w:pPr>
        <w:pStyle w:val="3"/>
        <w:ind w:firstLine="360"/>
        <w:jc w:val="center"/>
        <w:rPr>
          <w:rFonts w:ascii="微软雅黑" w:hAnsi="微软雅黑" w:eastAsia="微软雅黑"/>
          <w:sz w:val="18"/>
          <w:lang w:val="en-US"/>
        </w:rPr>
      </w:pPr>
    </w:p>
    <w:p>
      <w:pPr>
        <w:pStyle w:val="2"/>
        <w:rPr>
          <w:rFonts w:ascii="微软雅黑" w:hAnsi="微软雅黑"/>
        </w:rPr>
      </w:pPr>
      <w:bookmarkStart w:id="22" w:name="_Toc7411"/>
      <w:r>
        <w:rPr>
          <w:rFonts w:hint="eastAsia" w:ascii="微软雅黑" w:hAnsi="微软雅黑"/>
        </w:rPr>
        <w:t>分析目的</w:t>
      </w:r>
      <w:bookmarkEnd w:id="22"/>
    </w:p>
    <w:p>
      <w:pPr>
        <w:pStyle w:val="32"/>
        <w:ind w:firstLine="420" w:firstLineChars="20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>
      <w:pPr>
        <w:pStyle w:val="32"/>
        <w:ind w:firstLine="420" w:firstLineChars="20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>
      <w:pPr>
        <w:pStyle w:val="2"/>
        <w:rPr>
          <w:rFonts w:ascii="微软雅黑" w:hAnsi="微软雅黑"/>
        </w:rPr>
      </w:pPr>
      <w:bookmarkStart w:id="23" w:name="_Toc16090"/>
      <w:r>
        <w:rPr>
          <w:rFonts w:hint="eastAsia" w:ascii="微软雅黑" w:hAnsi="微软雅黑"/>
        </w:rPr>
        <w:t>分析依据</w:t>
      </w:r>
      <w:bookmarkEnd w:id="23"/>
    </w:p>
    <w:p>
      <w:pPr>
        <w:pStyle w:val="4"/>
        <w:rPr>
          <w:rFonts w:ascii="微软雅黑" w:hAnsi="微软雅黑"/>
        </w:rPr>
      </w:pPr>
      <w:bookmarkStart w:id="24" w:name="_Toc22868"/>
      <w:r>
        <w:rPr>
          <w:rFonts w:hint="eastAsia" w:ascii="微软雅黑" w:hAnsi="微软雅黑"/>
        </w:rPr>
        <w:t>标准依据</w:t>
      </w:r>
      <w:bookmarkEnd w:id="24"/>
    </w:p>
    <w:p>
      <w:pPr>
        <w:numPr>
          <w:ilvl w:val="0"/>
          <w:numId w:val="2"/>
        </w:numPr>
        <w:jc w:val="left"/>
        <w:rPr>
          <w:lang w:val="en-US"/>
        </w:rPr>
      </w:pPr>
      <w:r>
        <w:rPr>
          <w:rFonts w:hint="eastAsia"/>
          <w:lang w:val="en-US"/>
        </w:rPr>
        <w:t>《河南省绿色建筑评价标准》DBJ41/T 109-2020</w:t>
      </w:r>
      <w:r>
        <w:rPr>
          <w:lang w:val="en-US"/>
        </w:rPr>
        <w:t xml:space="preserve">  </w:t>
      </w:r>
    </w:p>
    <w:p>
      <w:pPr>
        <w:numPr>
          <w:ilvl w:val="0"/>
          <w:numId w:val="2"/>
        </w:numPr>
        <w:jc w:val="left"/>
        <w:rPr>
          <w:lang w:val="en-US"/>
        </w:rPr>
      </w:pPr>
      <w:r>
        <w:rPr>
          <w:lang w:val="en-US"/>
        </w:rPr>
        <w:t>《绿色建筑评价标准》GB/T 50378-2019</w:t>
      </w:r>
    </w:p>
    <w:p>
      <w:pPr>
        <w:numPr>
          <w:ilvl w:val="0"/>
          <w:numId w:val="2"/>
        </w:numPr>
        <w:jc w:val="left"/>
        <w:rPr>
          <w:lang w:val="en-US"/>
        </w:rPr>
      </w:pPr>
      <w:r>
        <w:rPr>
          <w:lang w:val="en-US"/>
        </w:rPr>
        <w:t>《建筑采光设计标准》GB 50033-2013</w:t>
      </w:r>
    </w:p>
    <w:p>
      <w:pPr>
        <w:numPr>
          <w:ilvl w:val="0"/>
          <w:numId w:val="2"/>
        </w:numPr>
        <w:jc w:val="left"/>
        <w:rPr>
          <w:lang w:val="en-US"/>
        </w:rPr>
      </w:pPr>
      <w:r>
        <w:rPr>
          <w:rFonts w:hint="eastAsia"/>
          <w:lang w:val="en-US"/>
        </w:rPr>
        <w:t>《绿色建筑评价标准技术细则2019》</w:t>
      </w:r>
    </w:p>
    <w:p>
      <w:pPr>
        <w:numPr>
          <w:ilvl w:val="0"/>
          <w:numId w:val="2"/>
        </w:numPr>
        <w:jc w:val="left"/>
        <w:rPr>
          <w:lang w:val="en-US"/>
        </w:rPr>
      </w:pPr>
      <w:r>
        <w:rPr>
          <w:rFonts w:hint="eastAsia"/>
          <w:lang w:val="en-US"/>
        </w:rPr>
        <w:t>《</w:t>
      </w:r>
      <w:r>
        <w:rPr>
          <w:lang w:val="en-US"/>
        </w:rPr>
        <w:t>民用建筑绿色性能计算标准</w:t>
      </w:r>
      <w:r>
        <w:rPr>
          <w:rFonts w:hint="eastAsia"/>
          <w:lang w:val="en-US"/>
        </w:rPr>
        <w:t>》</w:t>
      </w:r>
      <w:r>
        <w:rPr>
          <w:lang w:val="en-US"/>
        </w:rPr>
        <w:t>JGJT_449-2018</w:t>
      </w:r>
    </w:p>
    <w:p>
      <w:pPr>
        <w:numPr>
          <w:ilvl w:val="0"/>
          <w:numId w:val="2"/>
        </w:numPr>
        <w:jc w:val="left"/>
        <w:rPr>
          <w:lang w:val="en-US"/>
        </w:rPr>
      </w:pPr>
      <w:r>
        <w:rPr>
          <w:lang w:val="en-US"/>
        </w:rPr>
        <w:t>《采光测量方法》GB/T 5699-2017</w:t>
      </w:r>
    </w:p>
    <w:p>
      <w:pPr>
        <w:pStyle w:val="4"/>
        <w:rPr>
          <w:rFonts w:ascii="微软雅黑" w:hAnsi="微软雅黑"/>
        </w:rPr>
      </w:pPr>
      <w:bookmarkStart w:id="25" w:name="_Toc21446"/>
      <w:r>
        <w:rPr>
          <w:rFonts w:hint="eastAsia" w:ascii="微软雅黑" w:hAnsi="微软雅黑"/>
        </w:rPr>
        <w:t>标准要求</w:t>
      </w:r>
      <w:bookmarkEnd w:id="25"/>
    </w:p>
    <w:p>
      <w:pPr>
        <w:pStyle w:val="32"/>
        <w:ind w:firstLine="420" w:firstLineChars="200"/>
        <w:rPr>
          <w:lang w:val="en-US"/>
        </w:rPr>
      </w:pPr>
      <w:r>
        <w:rPr>
          <w:lang w:val="en-US"/>
        </w:rPr>
        <w:t>本报告以《建筑采光设计标准》GB 50033-2013为计算依据，以《河南省绿色建筑评价标准》DBJ41/T 109-2020为评价依据。</w:t>
      </w:r>
    </w:p>
    <w:p>
      <w:pPr>
        <w:pStyle w:val="13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>
      <w:pPr>
        <w:pStyle w:val="32"/>
        <w:ind w:firstLine="420" w:firstLineChars="200"/>
      </w:pPr>
      <w:r>
        <w:rPr>
          <w:rFonts w:hint="eastAsia"/>
        </w:rPr>
        <w:t>窗的不舒适眩光指数不宜高于表5.0.3规定的数值。</w:t>
      </w:r>
    </w:p>
    <w:p>
      <w:pPr>
        <w:pStyle w:val="32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44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  <w:rPr>
                <w:kern w:val="2"/>
              </w:rPr>
            </w:pPr>
            <w: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4121" w:type="dxa"/>
            <w:vAlign w:val="center"/>
          </w:tcPr>
          <w:p>
            <w:pPr>
              <w:pStyle w:val="32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jc w:val="center"/>
            </w:pPr>
            <w:r>
              <w:t>28</w:t>
            </w:r>
          </w:p>
        </w:tc>
      </w:tr>
    </w:tbl>
    <w:p>
      <w:pPr>
        <w:pStyle w:val="13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>
      <w:pPr>
        <w:ind w:left="180" w:right="180"/>
        <w:jc w:val="left"/>
        <w:rPr>
          <w:b/>
          <w:lang w:val="en-US"/>
        </w:rPr>
      </w:pPr>
      <w:r>
        <w:rPr>
          <w:rFonts w:hint="eastAsia"/>
          <w:b/>
          <w:lang w:val="en-US"/>
        </w:rPr>
        <w:t>■ 《河南省绿色建筑评价标准》DBJ41/T 109-2020规定：</w:t>
      </w:r>
    </w:p>
    <w:p>
      <w:pPr>
        <w:pStyle w:val="32"/>
        <w:ind w:firstLine="420" w:firstLineChars="200"/>
        <w:rPr>
          <w:b/>
        </w:rPr>
      </w:pPr>
      <w:r>
        <w:rPr>
          <w:b/>
        </w:rPr>
        <w:t xml:space="preserve">5. 2. 8-3 </w:t>
      </w:r>
      <w:r>
        <w:rPr>
          <w:rFonts w:hint="eastAsia"/>
          <w:b/>
        </w:rPr>
        <w:t>主要功能房间</w:t>
      </w:r>
      <w:r>
        <w:rPr>
          <w:b/>
        </w:rPr>
        <w:t>有眩光控制措施，得</w:t>
      </w:r>
      <w:bookmarkStart w:id="26" w:name="眩光评价分值"/>
      <w:r>
        <w:rPr>
          <w:rFonts w:hint="eastAsia"/>
          <w:b/>
        </w:rPr>
        <w:t>3</w:t>
      </w:r>
      <w:bookmarkEnd w:id="26"/>
      <w:r>
        <w:rPr>
          <w:b/>
        </w:rPr>
        <w:t xml:space="preserve"> </w:t>
      </w:r>
      <w:r>
        <w:rPr>
          <w:rFonts w:hint="eastAsia"/>
          <w:b/>
        </w:rPr>
        <w:t>分。</w:t>
      </w:r>
    </w:p>
    <w:p>
      <w:pPr>
        <w:ind w:firstLine="420" w:firstLineChars="200"/>
        <w:jc w:val="left"/>
        <w:rPr>
          <w:rFonts w:cs="微软雅黑"/>
          <w:szCs w:val="21"/>
        </w:rPr>
      </w:pPr>
    </w:p>
    <w:p>
      <w:pPr>
        <w:ind w:firstLine="420" w:firstLineChars="200"/>
        <w:jc w:val="left"/>
        <w:rPr>
          <w:rFonts w:cs="微软雅黑"/>
          <w:szCs w:val="21"/>
        </w:rPr>
      </w:pPr>
      <w:r>
        <w:rPr>
          <w:rFonts w:hint="eastAsia" w:cs="微软雅黑"/>
          <w:szCs w:val="21"/>
        </w:rPr>
        <w:t>本条沿用国家标准《绿色建筑评价标准》</w:t>
      </w:r>
      <w:r>
        <w:rPr>
          <w:rFonts w:cs="微软雅黑"/>
          <w:szCs w:val="21"/>
        </w:rPr>
        <w:t>GB/T 50378-2019</w:t>
      </w:r>
      <w:r>
        <w:rPr>
          <w:rFonts w:hint="eastAsia" w:cs="微软雅黑"/>
          <w:szCs w:val="21"/>
        </w:rPr>
        <w:t>第</w:t>
      </w:r>
      <w:r>
        <w:rPr>
          <w:rFonts w:cs="微软雅黑"/>
          <w:szCs w:val="21"/>
        </w:rPr>
        <w:t>5.2.8</w:t>
      </w:r>
      <w:r>
        <w:rPr>
          <w:rFonts w:hint="eastAsia" w:cs="微软雅黑"/>
          <w:szCs w:val="21"/>
        </w:rPr>
        <w:t>条要求，《绿色建筑评价标准技术细则2019》在眩光部分指出：</w:t>
      </w:r>
    </w:p>
    <w:p>
      <w:pPr>
        <w:ind w:firstLine="420" w:firstLineChars="200"/>
        <w:jc w:val="left"/>
      </w:pPr>
      <w:r>
        <w:rPr>
          <w:rFonts w:hint="eastAsia"/>
        </w:rPr>
        <w:t>要求主要功能房间的</w:t>
      </w:r>
      <w:r>
        <w:rPr>
          <w:rFonts w:hint="eastAsia"/>
          <w:b/>
        </w:rPr>
        <w:t>最大采光系数和平均采光系数的比值小于</w:t>
      </w:r>
      <w:bookmarkStart w:id="27" w:name="最大光均匀度要求"/>
      <w:r>
        <w:rPr>
          <w:rFonts w:hint="eastAsia"/>
          <w:b/>
        </w:rPr>
        <w:t>6</w:t>
      </w:r>
      <w:bookmarkEnd w:id="27"/>
      <w:r>
        <w:rPr>
          <w:rFonts w:hint="eastAsia"/>
        </w:rPr>
        <w:t>，改善室内天然光均匀度。若无眩光控制措施或采光均匀度不达标，本款不得分。</w:t>
      </w:r>
    </w:p>
    <w:p>
      <w:pPr>
        <w:pStyle w:val="2"/>
        <w:rPr>
          <w:rFonts w:ascii="微软雅黑" w:hAnsi="微软雅黑"/>
        </w:rPr>
      </w:pPr>
      <w:bookmarkStart w:id="28" w:name="_Toc26496"/>
      <w:r>
        <w:rPr>
          <w:rFonts w:hint="eastAsia" w:ascii="微软雅黑" w:hAnsi="微软雅黑"/>
        </w:rPr>
        <w:t>应用软件与计算方法</w:t>
      </w:r>
      <w:bookmarkEnd w:id="28"/>
    </w:p>
    <w:p>
      <w:pPr>
        <w:pStyle w:val="4"/>
        <w:rPr>
          <w:rFonts w:ascii="微软雅黑" w:hAnsi="微软雅黑"/>
        </w:rPr>
      </w:pPr>
      <w:bookmarkStart w:id="29" w:name="_Toc16662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29"/>
    </w:p>
    <w:p>
      <w:pPr>
        <w:pStyle w:val="32"/>
        <w:ind w:firstLine="420" w:firstLineChars="20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r>
        <w:rPr>
          <w:lang w:val="en-US"/>
        </w:rPr>
        <w:t>《河南省绿色建筑评价标准》DBJ41/T 109-2020</w:t>
      </w:r>
      <w:r>
        <w:rPr>
          <w:rFonts w:hint="eastAsia"/>
        </w:rPr>
        <w:t>、</w:t>
      </w:r>
      <w:r>
        <w:t>《绿色建筑评价标准》GB/T50378-2019的采光指标要求。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>
      <w:pPr>
        <w:pStyle w:val="32"/>
        <w:ind w:firstLine="420" w:firstLineChars="20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>
      <w:pPr>
        <w:pStyle w:val="4"/>
        <w:rPr>
          <w:rFonts w:ascii="微软雅黑" w:hAnsi="微软雅黑"/>
        </w:rPr>
      </w:pPr>
      <w:bookmarkStart w:id="30" w:name="_Toc23608"/>
      <w:r>
        <w:rPr>
          <w:rFonts w:hint="eastAsia" w:ascii="微软雅黑" w:hAnsi="微软雅黑"/>
        </w:rPr>
        <w:t>计算原理</w:t>
      </w:r>
      <w:bookmarkEnd w:id="30"/>
    </w:p>
    <w:p>
      <w:pPr>
        <w:pStyle w:val="13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■ 窗的不舒适眩光指数（</w:t>
      </w:r>
      <w:r>
        <w:rPr>
          <w:rFonts w:ascii="微软雅黑" w:hAnsi="微软雅黑"/>
          <w:b/>
          <w:sz w:val="21"/>
          <w:szCs w:val="21"/>
        </w:rPr>
        <w:t>DGI</w:t>
      </w:r>
      <w:r>
        <w:rPr>
          <w:rFonts w:hint="eastAsia" w:ascii="微软雅黑" w:hAnsi="微软雅黑"/>
          <w:b/>
          <w:sz w:val="21"/>
          <w:szCs w:val="21"/>
        </w:rPr>
        <w:t xml:space="preserve">）可按下列公式计算： </w: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4pt;width:89.6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0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7pt;width:135.8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2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2.6pt;width:49.6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4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sz w:val="20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pt;width:419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6">
            <o:LockedField>false</o:LockedField>
          </o:OLEObject>
        </w:object>
      </w:r>
      <w:r>
        <w:rPr>
          <w:rFonts w:ascii="微软雅黑" w:hAnsi="微软雅黑"/>
          <w:sz w:val="21"/>
          <w:szCs w:val="21"/>
        </w:rPr>
        <w:t xml:space="preserve">    </w:t>
      </w:r>
      <w:r>
        <w:rPr>
          <w:rFonts w:hint="eastAsia"/>
          <w:sz w:val="20"/>
        </w:rPr>
        <w:t>式中：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Gn----眩光常数；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ω----窗对计算点形成的立体角（sr）；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Ω----考虑窗位置修正的立体角（sr）；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P ----古斯位置指数</w:t>
      </w:r>
    </w:p>
    <w:p>
      <w:pPr>
        <w:pStyle w:val="32"/>
        <w:ind w:left="630" w:leftChars="300"/>
        <w:rPr>
          <w:sz w:val="20"/>
        </w:rPr>
      </w:pPr>
      <w:r>
        <w:rPr>
          <w:sz w:val="20"/>
        </w:rPr>
        <w:t>α----窗对角线与窗垂直方向的夹角；</w:t>
      </w:r>
    </w:p>
    <w:p>
      <w:pPr>
        <w:pStyle w:val="32"/>
        <w:ind w:left="630" w:leftChars="3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>
      <w:pPr>
        <w:pStyle w:val="13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pict>
          <v:shape id="_x0000_i1030" o:spt="75" type="#_x0000_t75" style="height:196.3pt;width:220.1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pStyle w:val="13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>
      <w:pPr>
        <w:pStyle w:val="2"/>
        <w:rPr>
          <w:rFonts w:ascii="微软雅黑" w:hAnsi="微软雅黑"/>
        </w:rPr>
      </w:pPr>
      <w:bookmarkStart w:id="31" w:name="_Toc8339"/>
      <w:r>
        <w:rPr>
          <w:rFonts w:hint="eastAsia" w:ascii="微软雅黑" w:hAnsi="微软雅黑"/>
        </w:rPr>
        <w:t>计算参数选用</w:t>
      </w:r>
      <w:bookmarkEnd w:id="31"/>
    </w:p>
    <w:p>
      <w:pPr>
        <w:pStyle w:val="4"/>
        <w:rPr>
          <w:rFonts w:ascii="微软雅黑" w:hAnsi="微软雅黑"/>
        </w:rPr>
      </w:pPr>
      <w:bookmarkStart w:id="32" w:name="_Toc10731"/>
      <w:r>
        <w:rPr>
          <w:rFonts w:hint="eastAsia" w:ascii="微软雅黑" w:hAnsi="微软雅黑"/>
        </w:rPr>
        <w:t>模拟条件</w:t>
      </w:r>
      <w:bookmarkEnd w:id="32"/>
    </w:p>
    <w:p>
      <w:pPr>
        <w:pStyle w:val="32"/>
        <w:ind w:left="420" w:leftChars="200"/>
      </w:pPr>
      <w:r>
        <w:rPr>
          <w:rFonts w:hint="eastAsia"/>
        </w:rPr>
        <w:t>天空状态：</w:t>
      </w:r>
      <w:bookmarkStart w:id="33" w:name="天空模型"/>
      <w:r>
        <w:rPr>
          <w:rFonts w:hint="eastAsia"/>
        </w:rPr>
        <w:t>晴天－CIE12（大气清晰）：6月21日 14:00 考虑太阳直射</w:t>
      </w:r>
      <w:bookmarkEnd w:id="33"/>
    </w:p>
    <w:p>
      <w:pPr>
        <w:pStyle w:val="32"/>
        <w:ind w:left="420" w:leftChars="200"/>
      </w:pPr>
      <w:r>
        <w:t>周边环境</w:t>
      </w:r>
      <w:r>
        <w:rPr>
          <w:rFonts w:hint="eastAsia"/>
        </w:rPr>
        <w:t>：</w:t>
      </w:r>
      <w:r>
        <w:t>考虑</w:t>
      </w:r>
      <w:r>
        <w:rPr>
          <w:rFonts w:hint="eastAsia"/>
        </w:rPr>
        <w:t>分析区内的</w:t>
      </w:r>
      <w:r>
        <w:t>建筑物</w:t>
      </w:r>
      <w:r>
        <w:rPr>
          <w:rFonts w:hint="eastAsia"/>
        </w:rPr>
        <w:t>之间</w:t>
      </w:r>
      <w:r>
        <w:t>遮挡</w:t>
      </w:r>
    </w:p>
    <w:p>
      <w:pPr>
        <w:pStyle w:val="32"/>
        <w:ind w:left="420" w:leftChars="200"/>
      </w:pPr>
      <w:r>
        <w:rPr>
          <w:rFonts w:hint="eastAsia"/>
        </w:rPr>
        <w:t>室内环境：</w:t>
      </w:r>
      <w:r>
        <w:t>忽略室内家具</w:t>
      </w:r>
      <w:r>
        <w:rPr>
          <w:rFonts w:hint="eastAsia"/>
        </w:rPr>
        <w:t>类设施</w:t>
      </w:r>
      <w:r>
        <w:t>的影响，</w:t>
      </w:r>
      <w:r>
        <w:rPr>
          <w:rFonts w:hint="eastAsia"/>
        </w:rPr>
        <w:t>只考虑永久固定的顶棚、地面和墙面</w:t>
      </w:r>
      <w:r>
        <w:t>。</w:t>
      </w:r>
    </w:p>
    <w:p>
      <w:pPr>
        <w:pStyle w:val="4"/>
        <w:rPr>
          <w:rFonts w:ascii="微软雅黑" w:hAnsi="微软雅黑"/>
        </w:rPr>
      </w:pPr>
      <w:bookmarkStart w:id="34" w:name="_Toc919"/>
      <w:r>
        <w:rPr>
          <w:rFonts w:hint="eastAsia" w:ascii="微软雅黑" w:hAnsi="微软雅黑"/>
        </w:rPr>
        <w:t>建筑饰面材料参数</w:t>
      </w:r>
      <w:bookmarkEnd w:id="34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3464"/>
        <w:gridCol w:w="35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5" w:name="顶棚反射比"/>
            <w:r>
              <w:rPr>
                <w:rFonts w:hint="eastAsia"/>
              </w:rPr>
              <w:t>0.75</w:t>
            </w:r>
            <w:bookmarkEnd w:id="35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6" w:name="地面反射比"/>
            <w:r>
              <w:rPr>
                <w:rFonts w:hint="eastAsia"/>
              </w:rPr>
              <w:t>0.30</w:t>
            </w:r>
            <w:bookmarkEnd w:id="36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7" w:name="墙面反射比"/>
            <w:r>
              <w:rPr>
                <w:rFonts w:hint="eastAsia"/>
              </w:rPr>
              <w:t>0.60</w:t>
            </w:r>
            <w:bookmarkEnd w:id="37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  <w:bookmarkStart w:id="38" w:name="外表面反射比"/>
            <w:r>
              <w:rPr>
                <w:rFonts w:hint="eastAsia"/>
              </w:rPr>
              <w:t>0.50</w:t>
            </w:r>
            <w:bookmarkEnd w:id="38"/>
          </w:p>
        </w:tc>
        <w:tc>
          <w:tcPr>
            <w:tcW w:w="35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32"/>
              <w:jc w:val="center"/>
            </w:pPr>
          </w:p>
        </w:tc>
      </w:tr>
    </w:tbl>
    <w:p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>
      <w:pPr>
        <w:pStyle w:val="4"/>
        <w:rPr>
          <w:rFonts w:ascii="微软雅黑" w:hAnsi="微软雅黑"/>
        </w:rPr>
      </w:pPr>
      <w:bookmarkStart w:id="39" w:name="_Toc27305"/>
      <w:r>
        <w:rPr>
          <w:rFonts w:hint="eastAsia" w:ascii="微软雅黑" w:hAnsi="微软雅黑"/>
        </w:rPr>
        <w:t>门窗类型参数</w:t>
      </w:r>
      <w:bookmarkEnd w:id="39"/>
    </w:p>
    <w:p>
      <w:pPr>
        <w:pStyle w:val="32"/>
        <w:ind w:firstLine="420" w:firstLineChars="20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5"/>
        <w:rPr>
          <w:rFonts w:ascii="微软雅黑" w:hAnsi="微软雅黑"/>
        </w:rPr>
      </w:pPr>
      <w:bookmarkStart w:id="40" w:name="_Toc6564"/>
      <w:bookmarkStart w:id="41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0"/>
    </w:p>
    <w:bookmarkEnd w:id="41"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宽度(mm)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高度(mm)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窗框类型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玻璃类型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玻璃反射比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/>
        </w:tc>
        <w:tc>
          <w:tcPr>
            <w:vAlign w:val="center"/>
          </w:tcPr>
          <w:p>
            <w:r>
              <w:t>350</w:t>
            </w:r>
          </w:p>
        </w:tc>
        <w:tc>
          <w:tcPr>
            <w:vAlign w:val="center"/>
          </w:tcPr>
          <w:p>
            <w:r>
              <w:t>350</w:t>
            </w:r>
          </w:p>
        </w:tc>
        <w:tc>
          <w:tcPr>
            <w:vAlign w:val="center"/>
          </w:tcPr>
          <w:p>
            <w:r>
              <w:t>双层塑料窗</w:t>
            </w:r>
          </w:p>
        </w:tc>
        <w:tc>
          <w:tcPr>
            <w:vAlign w:val="center"/>
          </w:tcPr>
          <w:p>
            <w:r>
              <w:t>高透Low-E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C0628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2800</w:t>
            </w:r>
          </w:p>
        </w:tc>
        <w:tc>
          <w:tcPr>
            <w:vAlign w:val="center"/>
          </w:tcPr>
          <w:p>
            <w:r>
              <w:t>双层塑料窗</w:t>
            </w:r>
          </w:p>
        </w:tc>
        <w:tc>
          <w:tcPr>
            <w:vAlign w:val="center"/>
          </w:tcPr>
          <w:p>
            <w:r>
              <w:t>高透Low-E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C0631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3100</w:t>
            </w:r>
          </w:p>
        </w:tc>
        <w:tc>
          <w:tcPr>
            <w:vAlign w:val="center"/>
          </w:tcPr>
          <w:p>
            <w:r>
              <w:t>双层塑料窗</w:t>
            </w:r>
          </w:p>
        </w:tc>
        <w:tc>
          <w:tcPr>
            <w:vAlign w:val="center"/>
          </w:tcPr>
          <w:p>
            <w:r>
              <w:t>高透Low-E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C1328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2800</w:t>
            </w:r>
          </w:p>
        </w:tc>
        <w:tc>
          <w:tcPr>
            <w:vAlign w:val="center"/>
          </w:tcPr>
          <w:p>
            <w:r>
              <w:t>双层塑料窗</w:t>
            </w:r>
          </w:p>
        </w:tc>
        <w:tc>
          <w:tcPr>
            <w:vAlign w:val="center"/>
          </w:tcPr>
          <w:p>
            <w:r>
              <w:t>高透Low-E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C1331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3100</w:t>
            </w:r>
          </w:p>
        </w:tc>
        <w:tc>
          <w:tcPr>
            <w:vAlign w:val="center"/>
          </w:tcPr>
          <w:p>
            <w:r>
              <w:t>双层塑料窗</w:t>
            </w:r>
          </w:p>
        </w:tc>
        <w:tc>
          <w:tcPr>
            <w:vAlign w:val="center"/>
          </w:tcPr>
          <w:p>
            <w:r>
              <w:t>高透Low-E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2100</w:t>
            </w:r>
          </w:p>
        </w:tc>
        <w:tc>
          <w:tcPr>
            <w:vAlign w:val="center"/>
          </w:tcPr>
          <w:p>
            <w:r>
              <w:t>2400</w:t>
            </w:r>
          </w:p>
        </w:tc>
        <w:tc>
          <w:tcPr>
            <w:vAlign w:val="center"/>
          </w:tcPr>
          <w:p>
            <w:r>
              <w:t>双层塑料窗</w:t>
            </w:r>
          </w:p>
        </w:tc>
        <w:tc>
          <w:tcPr>
            <w:vAlign w:val="center"/>
          </w:tcPr>
          <w:p>
            <w:r>
              <w:t>高透Low-E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C2128</w:t>
            </w:r>
          </w:p>
        </w:tc>
        <w:tc>
          <w:tcPr>
            <w:vAlign w:val="center"/>
          </w:tcPr>
          <w:p>
            <w:r>
              <w:t>2100</w:t>
            </w:r>
          </w:p>
        </w:tc>
        <w:tc>
          <w:tcPr>
            <w:vAlign w:val="center"/>
          </w:tcPr>
          <w:p>
            <w:r>
              <w:t>2800</w:t>
            </w:r>
          </w:p>
        </w:tc>
        <w:tc>
          <w:tcPr>
            <w:vAlign w:val="center"/>
          </w:tcPr>
          <w:p>
            <w:r>
              <w:t>双层塑料窗</w:t>
            </w:r>
          </w:p>
        </w:tc>
        <w:tc>
          <w:tcPr>
            <w:vAlign w:val="center"/>
          </w:tcPr>
          <w:p>
            <w:r>
              <w:t>高透Low-E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C2131</w:t>
            </w:r>
          </w:p>
        </w:tc>
        <w:tc>
          <w:tcPr>
            <w:vAlign w:val="center"/>
          </w:tcPr>
          <w:p>
            <w:r>
              <w:t>2100</w:t>
            </w:r>
          </w:p>
        </w:tc>
        <w:tc>
          <w:tcPr>
            <w:vAlign w:val="center"/>
          </w:tcPr>
          <w:p>
            <w:r>
              <w:t>3100</w:t>
            </w:r>
          </w:p>
        </w:tc>
        <w:tc>
          <w:tcPr>
            <w:vAlign w:val="center"/>
          </w:tcPr>
          <w:p>
            <w:r>
              <w:t>双层塑料窗</w:t>
            </w:r>
          </w:p>
        </w:tc>
        <w:tc>
          <w:tcPr>
            <w:vAlign w:val="center"/>
          </w:tcPr>
          <w:p>
            <w:r>
              <w:t>高透Low-E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2400</w:t>
            </w:r>
          </w:p>
        </w:tc>
        <w:tc>
          <w:tcPr>
            <w:vAlign w:val="center"/>
          </w:tcPr>
          <w:p>
            <w:r>
              <w:t>双层塑料窗</w:t>
            </w:r>
          </w:p>
        </w:tc>
        <w:tc>
          <w:tcPr>
            <w:vAlign w:val="center"/>
          </w:tcPr>
          <w:p>
            <w:r>
              <w:t>高透Low-E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C4331</w:t>
            </w:r>
          </w:p>
        </w:tc>
        <w:tc>
          <w:tcPr>
            <w:vAlign w:val="center"/>
          </w:tcPr>
          <w:p>
            <w:r>
              <w:t>4300</w:t>
            </w:r>
          </w:p>
        </w:tc>
        <w:tc>
          <w:tcPr>
            <w:vAlign w:val="center"/>
          </w:tcPr>
          <w:p>
            <w:r>
              <w:t>3100</w:t>
            </w:r>
          </w:p>
        </w:tc>
        <w:tc>
          <w:tcPr>
            <w:vAlign w:val="center"/>
          </w:tcPr>
          <w:p>
            <w:r>
              <w:t>双层塑料窗</w:t>
            </w:r>
          </w:p>
        </w:tc>
        <w:tc>
          <w:tcPr>
            <w:vAlign w:val="center"/>
          </w:tcPr>
          <w:p>
            <w:r>
              <w:t>高透Low-E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C4431</w:t>
            </w:r>
          </w:p>
        </w:tc>
        <w:tc>
          <w:tcPr>
            <w:vAlign w:val="center"/>
          </w:tcPr>
          <w:p>
            <w:r>
              <w:t>4400</w:t>
            </w:r>
          </w:p>
        </w:tc>
        <w:tc>
          <w:tcPr>
            <w:vAlign w:val="center"/>
          </w:tcPr>
          <w:p>
            <w:r>
              <w:t>3100</w:t>
            </w:r>
          </w:p>
        </w:tc>
        <w:tc>
          <w:tcPr>
            <w:vAlign w:val="center"/>
          </w:tcPr>
          <w:p>
            <w:r>
              <w:t>双层塑料窗</w:t>
            </w:r>
          </w:p>
        </w:tc>
        <w:tc>
          <w:tcPr>
            <w:vAlign w:val="center"/>
          </w:tcPr>
          <w:p>
            <w:r>
              <w:t>高透Low-E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DK1521</w:t>
            </w:r>
          </w:p>
        </w:tc>
        <w:tc>
          <w:tcPr>
            <w:vAlign w:val="center"/>
          </w:tcPr>
          <w:p>
            <w:r>
              <w:t>1500</w:t>
            </w:r>
          </w:p>
        </w:tc>
        <w:tc>
          <w:tcPr>
            <w:vAlign w:val="center"/>
          </w:tcPr>
          <w:p>
            <w:r>
              <w:t>2100</w:t>
            </w:r>
          </w:p>
        </w:tc>
        <w:tc>
          <w:tcPr>
            <w:vAlign w:val="center"/>
          </w:tcPr>
          <w:p>
            <w:r>
              <w:t>双层塑料窗</w:t>
            </w:r>
          </w:p>
        </w:tc>
        <w:tc>
          <w:tcPr>
            <w:vAlign w:val="center"/>
          </w:tcPr>
          <w:p>
            <w:r>
              <w:t>高透Low-E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DK1821</w:t>
            </w:r>
          </w:p>
        </w:tc>
        <w:tc>
          <w:tcPr>
            <w:vAlign w:val="center"/>
          </w:tcPr>
          <w:p>
            <w:r>
              <w:t>1800</w:t>
            </w:r>
          </w:p>
        </w:tc>
        <w:tc>
          <w:tcPr>
            <w:vAlign w:val="center"/>
          </w:tcPr>
          <w:p>
            <w:r>
              <w:t>2100</w:t>
            </w:r>
          </w:p>
        </w:tc>
        <w:tc>
          <w:tcPr>
            <w:vAlign w:val="center"/>
          </w:tcPr>
          <w:p>
            <w:r>
              <w:t>双层塑料窗</w:t>
            </w:r>
          </w:p>
        </w:tc>
        <w:tc>
          <w:tcPr>
            <w:vAlign w:val="center"/>
          </w:tcPr>
          <w:p>
            <w:r>
              <w:t>高透Low-E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GC1809</w:t>
            </w:r>
          </w:p>
        </w:tc>
        <w:tc>
          <w:tcPr>
            <w:vAlign w:val="center"/>
          </w:tcPr>
          <w:p>
            <w:r>
              <w:t>1800</w:t>
            </w:r>
          </w:p>
        </w:tc>
        <w:tc>
          <w:tcPr>
            <w:vAlign w:val="center"/>
          </w:tcPr>
          <w:p>
            <w:r>
              <w:t>900</w:t>
            </w:r>
          </w:p>
        </w:tc>
        <w:tc>
          <w:tcPr>
            <w:vAlign w:val="center"/>
          </w:tcPr>
          <w:p>
            <w:r>
              <w:t>双层塑料窗</w:t>
            </w:r>
          </w:p>
        </w:tc>
        <w:tc>
          <w:tcPr>
            <w:vAlign w:val="center"/>
          </w:tcPr>
          <w:p>
            <w:r>
              <w:t>高透Low-E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0.08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2"/>
        <w:rPr>
          <w:rFonts w:ascii="微软雅黑" w:hAnsi="微软雅黑"/>
        </w:rPr>
      </w:pPr>
      <w:bookmarkStart w:id="42" w:name="_Toc24274"/>
      <w:r>
        <w:rPr>
          <w:rFonts w:hint="eastAsia" w:ascii="微软雅黑" w:hAnsi="微软雅黑"/>
        </w:rPr>
        <w:t>眩光分析结果</w:t>
      </w:r>
      <w:bookmarkEnd w:id="42"/>
    </w:p>
    <w:p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3" w:name="_Toc23766"/>
      <w:r>
        <w:rPr>
          <w:rFonts w:hint="eastAsia" w:ascii="微软雅黑" w:hAnsi="微软雅黑"/>
        </w:rPr>
        <w:t>眩光指数</w:t>
      </w:r>
      <w:bookmarkEnd w:id="43"/>
    </w:p>
    <w:p>
      <w:pPr>
        <w:pStyle w:val="32"/>
        <w:ind w:firstLine="420" w:firstLineChars="20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5"/>
        <w:gridCol w:w="1075"/>
        <w:gridCol w:w="707"/>
        <w:gridCol w:w="707"/>
        <w:gridCol w:w="1443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眩光指数</w:t>
            </w:r>
            <w:r>
              <w:br w:type="textWrapping"/>
            </w:r>
            <w:r>
              <w:t>DGI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DGI限值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135.11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134.91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134.45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134.45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135.11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134.91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134.45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134.45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135.11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134.91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134.45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134.45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ind w:left="180" w:right="180"/>
        <w:rPr>
          <w:lang w:val="en-US"/>
        </w:rPr>
      </w:pPr>
      <w:bookmarkStart w:id="44" w:name="房间眩光表"/>
      <w:bookmarkEnd w:id="44"/>
    </w:p>
    <w:p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5" w:name="_Toc28238"/>
      <w:r>
        <w:rPr>
          <w:rFonts w:hint="eastAsia" w:ascii="微软雅黑" w:hAnsi="微软雅黑"/>
        </w:rPr>
        <w:t>采光均匀度</w:t>
      </w:r>
      <w:bookmarkEnd w:id="45"/>
    </w:p>
    <w:p>
      <w:pPr>
        <w:pStyle w:val="32"/>
        <w:ind w:firstLine="420" w:firstLineChars="200"/>
        <w:rPr>
          <w:lang w:val="en-US"/>
        </w:rPr>
      </w:pPr>
      <w:r>
        <w:rPr>
          <w:rFonts w:hint="eastAsia"/>
        </w:rPr>
        <w:t>《绿色建筑评价标准技术细则2019》要求</w:t>
      </w:r>
      <w:r>
        <w:rPr>
          <w:rFonts w:hint="eastAsia"/>
          <w:lang w:val="en-US"/>
        </w:rPr>
        <w:t>满足眩光控制要求的同时，要求主要功能房间的最大采光系数和平均采光系数的比值小于</w:t>
      </w:r>
      <w:bookmarkStart w:id="46" w:name="最大光均匀度要求1"/>
      <w:r>
        <w:rPr>
          <w:rFonts w:hint="eastAsia"/>
          <w:lang w:val="en-US"/>
        </w:rPr>
        <w:t>6</w:t>
      </w:r>
      <w:bookmarkEnd w:id="46"/>
      <w:r>
        <w:rPr>
          <w:rFonts w:hint="eastAsia"/>
          <w:lang w:val="en-US"/>
        </w:rPr>
        <w:t>，以为改善室内天然采光均匀度。</w:t>
      </w:r>
    </w:p>
    <w:tbl>
      <w:tblPr>
        <w:tblStyle w:val="19"/>
        <w:tblW w:w="925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5"/>
        <w:gridCol w:w="1245"/>
        <w:gridCol w:w="792"/>
        <w:gridCol w:w="848"/>
        <w:gridCol w:w="1075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ind w:left="180" w:right="180"/>
        <w:rPr>
          <w:lang w:val="en-US"/>
        </w:rPr>
      </w:pPr>
      <w:bookmarkStart w:id="47" w:name="光均匀度表"/>
      <w:bookmarkEnd w:id="47"/>
    </w:p>
    <w:p>
      <w:pPr>
        <w:pStyle w:val="2"/>
        <w:rPr>
          <w:rFonts w:ascii="微软雅黑" w:hAnsi="微软雅黑"/>
        </w:rPr>
      </w:pPr>
      <w:bookmarkStart w:id="48" w:name="_Toc31440"/>
      <w:r>
        <w:rPr>
          <w:rFonts w:hint="eastAsia" w:ascii="微软雅黑" w:hAnsi="微软雅黑"/>
        </w:rPr>
        <w:t>评价结论</w:t>
      </w:r>
      <w:bookmarkEnd w:id="48"/>
    </w:p>
    <w:p>
      <w:pPr>
        <w:pStyle w:val="32"/>
        <w:ind w:firstLine="420" w:firstLineChars="200"/>
      </w:pPr>
      <w:r>
        <w:rPr>
          <w:lang w:val="en-US"/>
        </w:rPr>
        <w:t>《河南省绿色建筑评价标准》DBJ41/T 109-2020的5.2.8条要求，</w:t>
      </w:r>
      <w:r>
        <w:rPr>
          <w:rFonts w:hint="eastAsia"/>
          <w:lang w:val="en-US"/>
        </w:rPr>
        <w:t>主要功能房间</w:t>
      </w:r>
      <w:r>
        <w:rPr>
          <w:lang w:val="en-US"/>
        </w:rPr>
        <w:t>有眩光控制措施，得3</w:t>
      </w:r>
      <w:r>
        <w:rPr>
          <w:rFonts w:hint="eastAsia"/>
          <w:lang w:val="en-US"/>
        </w:rPr>
        <w:t>分。</w:t>
      </w:r>
    </w:p>
    <w:p>
      <w:pPr>
        <w:pStyle w:val="32"/>
        <w:ind w:firstLine="420" w:firstLineChars="200"/>
      </w:pPr>
      <w:r>
        <w:t>通过计算分析，依据</w:t>
      </w:r>
      <w:r>
        <w:rPr>
          <w:lang w:val="en-US"/>
        </w:rPr>
        <w:t>《河南省绿色建筑评价标准》DBJ41/T 109-2020</w:t>
      </w:r>
      <w:r>
        <w:rPr>
          <w:rFonts w:hint="eastAsia"/>
          <w:lang w:val="en-US"/>
        </w:rPr>
        <w:t>、</w:t>
      </w:r>
      <w:r>
        <w:t>《建筑采光设计标准》GB 50033-2013</w:t>
      </w:r>
      <w:r>
        <w:rPr>
          <w:rFonts w:hint="eastAsia"/>
        </w:rPr>
        <w:t>要求</w:t>
      </w:r>
      <w:r>
        <w:t>对本项目主要功能房间进行眩光分析计算</w:t>
      </w:r>
      <w:r>
        <w:rPr>
          <w:rFonts w:hint="eastAsia"/>
        </w:rPr>
        <w:t>。</w:t>
      </w:r>
    </w:p>
    <w:tbl>
      <w:tblPr>
        <w:tblStyle w:val="1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695"/>
        <w:gridCol w:w="19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21" w:type="dxa"/>
            <w:shd w:val="clear" w:color="auto" w:fill="F2F2F2"/>
            <w:vAlign w:val="center"/>
          </w:tcPr>
          <w:p>
            <w:pPr>
              <w:pStyle w:val="32"/>
              <w:spacing w:line="360" w:lineRule="exact"/>
              <w:jc w:val="center"/>
            </w:pPr>
            <w:r>
              <w:rPr>
                <w:rFonts w:hint="eastAsia"/>
              </w:rPr>
              <w:t>眩光评价房间数量</w:t>
            </w:r>
          </w:p>
        </w:tc>
        <w:tc>
          <w:tcPr>
            <w:tcW w:w="2322" w:type="dxa"/>
            <w:shd w:val="clear" w:color="auto" w:fill="F2F2F2"/>
            <w:vAlign w:val="center"/>
          </w:tcPr>
          <w:p>
            <w:pPr>
              <w:pStyle w:val="32"/>
              <w:spacing w:line="360" w:lineRule="exact"/>
              <w:jc w:val="center"/>
            </w:pPr>
            <w:r>
              <w:rPr>
                <w:rFonts w:hint="eastAsia"/>
              </w:rPr>
              <w:t>眩光不达标房间数</w:t>
            </w:r>
          </w:p>
        </w:tc>
        <w:tc>
          <w:tcPr>
            <w:tcW w:w="2695" w:type="dxa"/>
            <w:shd w:val="clear" w:color="auto" w:fill="F2F2F2"/>
            <w:vAlign w:val="center"/>
          </w:tcPr>
          <w:p>
            <w:pPr>
              <w:pStyle w:val="32"/>
              <w:spacing w:line="360" w:lineRule="exact"/>
              <w:jc w:val="center"/>
            </w:pPr>
            <w:r>
              <w:rPr>
                <w:rFonts w:hint="eastAsia"/>
              </w:rPr>
              <w:t>采光均匀度不达标房间数</w:t>
            </w:r>
          </w:p>
        </w:tc>
        <w:tc>
          <w:tcPr>
            <w:tcW w:w="1948" w:type="dxa"/>
            <w:shd w:val="clear" w:color="auto" w:fill="F2F2F2"/>
            <w:vAlign w:val="center"/>
          </w:tcPr>
          <w:p>
            <w:pPr>
              <w:pStyle w:val="32"/>
              <w:spacing w:line="360" w:lineRule="exact"/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321" w:type="dxa"/>
            <w:shd w:val="clear" w:color="auto" w:fill="auto"/>
            <w:vAlign w:val="center"/>
          </w:tcPr>
          <w:p>
            <w:pPr>
              <w:pStyle w:val="32"/>
              <w:spacing w:line="360" w:lineRule="exact"/>
              <w:jc w:val="center"/>
            </w:pPr>
            <w:bookmarkStart w:id="49" w:name="眩光评价房间数"/>
            <w:r>
              <w:rPr>
                <w:rFonts w:hint="eastAsia"/>
              </w:rPr>
              <w:t>12</w:t>
            </w:r>
            <w:bookmarkEnd w:id="49"/>
          </w:p>
        </w:tc>
        <w:tc>
          <w:tcPr>
            <w:tcW w:w="2322" w:type="dxa"/>
            <w:shd w:val="clear" w:color="auto" w:fill="auto"/>
            <w:vAlign w:val="center"/>
          </w:tcPr>
          <w:p>
            <w:pPr>
              <w:pStyle w:val="32"/>
              <w:spacing w:line="360" w:lineRule="exact"/>
              <w:jc w:val="center"/>
            </w:pPr>
            <w:bookmarkStart w:id="50" w:name="眩光不达标房间数"/>
            <w:r>
              <w:rPr>
                <w:rFonts w:hint="eastAsia"/>
              </w:rPr>
              <w:t>0</w:t>
            </w:r>
            <w:bookmarkEnd w:id="50"/>
          </w:p>
        </w:tc>
        <w:tc>
          <w:tcPr>
            <w:tcW w:w="2695" w:type="dxa"/>
            <w:shd w:val="clear" w:color="auto" w:fill="auto"/>
            <w:vAlign w:val="center"/>
          </w:tcPr>
          <w:p>
            <w:pPr>
              <w:pStyle w:val="32"/>
              <w:spacing w:line="360" w:lineRule="exact"/>
              <w:jc w:val="center"/>
            </w:pPr>
            <w:bookmarkStart w:id="51" w:name="光均匀度不达标房间数"/>
            <w:r>
              <w:t>0</w:t>
            </w:r>
            <w:bookmarkEnd w:id="51"/>
          </w:p>
        </w:tc>
        <w:tc>
          <w:tcPr>
            <w:tcW w:w="1948" w:type="dxa"/>
            <w:shd w:val="clear" w:color="auto" w:fill="auto"/>
            <w:vAlign w:val="center"/>
          </w:tcPr>
          <w:p>
            <w:pPr>
              <w:pStyle w:val="32"/>
              <w:spacing w:line="360" w:lineRule="exact"/>
              <w:jc w:val="center"/>
            </w:pPr>
            <w:bookmarkStart w:id="52" w:name="眩光评价得分"/>
            <w:r>
              <w:rPr>
                <w:rFonts w:hint="eastAsia"/>
              </w:rPr>
              <w:t>3</w:t>
            </w:r>
            <w:bookmarkEnd w:id="52"/>
          </w:p>
        </w:tc>
      </w:tr>
    </w:tbl>
    <w:p>
      <w:pPr>
        <w:pStyle w:val="32"/>
        <w:ind w:firstLine="420" w:firstLineChars="200"/>
      </w:pPr>
    </w:p>
    <w:p>
      <w:pPr>
        <w:pStyle w:val="3"/>
        <w:spacing w:line="240" w:lineRule="auto"/>
        <w:ind w:firstLine="0" w:firstLineChars="0"/>
        <w:rPr>
          <w:rFonts w:ascii="微软雅黑" w:hAnsi="微软雅黑" w:eastAsia="微软雅黑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ascii="微软雅黑" w:hAnsi="微软雅黑"/>
        </w:rPr>
      </w:pPr>
      <w:bookmarkStart w:id="53" w:name="_Toc10301"/>
      <w:r>
        <w:rPr>
          <w:rFonts w:hint="eastAsia" w:ascii="微软雅黑" w:hAnsi="微软雅黑"/>
        </w:rPr>
        <w:t>附：</w:t>
      </w:r>
      <w:r>
        <w:rPr>
          <w:rFonts w:ascii="微软雅黑" w:hAnsi="微软雅黑"/>
        </w:rPr>
        <w:t>项目总平面图</w:t>
      </w:r>
      <w:bookmarkEnd w:id="53"/>
    </w:p>
    <w:p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4" w:name="总平面图"/>
      <w:bookmarkEnd w:id="54"/>
      <w:r>
        <w:drawing>
          <wp:inline distT="0" distB="0" distL="0" distR="0">
            <wp:extent cx="5667375" cy="37909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enter" w:pos="4535"/>
        <w:tab w:val="right" w:pos="9070"/>
        <w:tab w:val="clear" w:pos="4153"/>
        <w:tab w:val="clear" w:pos="8306"/>
      </w:tabs>
      <w:ind w:left="180" w:right="180" w:firstLine="420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8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80" w:right="1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80" w:right="1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pict>
        <v:shape id="_x0000_i1025" o:spt="75" type="#_x0000_t75" style="height:20.4pt;width:76.7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80" w:right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3E51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Times New Roman" w:hAnsi="Times New Roman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jc w:val="left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image" Target="media/image7.png"/><Relationship Id="rId17" Type="http://schemas.openxmlformats.org/officeDocument/2006/relationships/image" Target="media/image6.wmf"/><Relationship Id="rId16" Type="http://schemas.openxmlformats.org/officeDocument/2006/relationships/oleObject" Target="embeddings/oleObject4.bin"/><Relationship Id="rId15" Type="http://schemas.openxmlformats.org/officeDocument/2006/relationships/image" Target="media/image5.wmf"/><Relationship Id="rId14" Type="http://schemas.openxmlformats.org/officeDocument/2006/relationships/oleObject" Target="embeddings/oleObject3.bin"/><Relationship Id="rId13" Type="http://schemas.openxmlformats.org/officeDocument/2006/relationships/image" Target="media/image4.wmf"/><Relationship Id="rId12" Type="http://schemas.openxmlformats.org/officeDocument/2006/relationships/oleObject" Target="embeddings/oleObject2.bin"/><Relationship Id="rId11" Type="http://schemas.openxmlformats.org/officeDocument/2006/relationships/image" Target="media/image3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2A413-614A-4B40-89C7-6D4203D6CC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河南不舒适眩光分析报告书.dotx</Template>
  <Company>gbsware</Company>
  <Pages>8</Pages>
  <Words>577</Words>
  <Characters>3292</Characters>
  <Lines>27</Lines>
  <Paragraphs>7</Paragraphs>
  <TotalTime>0</TotalTime>
  <ScaleCrop>false</ScaleCrop>
  <LinksUpToDate>false</LinksUpToDate>
  <CharactersWithSpaces>3862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2016-12-05T07:53:00Z</dcterms:created>
  <dc:creator>ybx</dc:creator>
  <cp:lastModifiedBy>ASUS</cp:lastModifiedBy>
  <cp:lastPrinted>2411-12-31T16:00:00Z</cp:lastPrinted>
  <dcterms:modified xsi:type="dcterms:W3CDTF">2023-06-05T09:07:09Z</dcterms:modified>
  <dc:title>眩光分析报告书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77C801C3D8114A4193755C987C37D4A9_12</vt:lpwstr>
  </property>
</Properties>
</file>