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绿色建筑基本级、一星、二星、三星所需提交的资料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4224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restart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4.安全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耐久</w:t>
            </w:r>
          </w:p>
        </w:tc>
        <w:tc>
          <w:tcPr>
            <w:tcW w:w="2478" w:type="pct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提供报告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>区位图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（区位分析图）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方案</w:t>
            </w:r>
            <w:r>
              <w:rPr>
                <w:rFonts w:ascii="仿宋" w:hAnsi="仿宋" w:eastAsia="仿宋"/>
                <w:sz w:val="24"/>
                <w:szCs w:val="24"/>
              </w:rPr>
              <w:t>、结构提供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场地</w:t>
            </w:r>
            <w:r>
              <w:rPr>
                <w:rFonts w:ascii="仿宋" w:hAnsi="仿宋" w:eastAsia="仿宋"/>
                <w:sz w:val="24"/>
                <w:szCs w:val="24"/>
              </w:rPr>
              <w:t>地形图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方案</w:t>
            </w:r>
            <w:r>
              <w:rPr>
                <w:rFonts w:ascii="仿宋" w:hAnsi="仿宋" w:eastAsia="仿宋"/>
                <w:sz w:val="24"/>
                <w:szCs w:val="24"/>
              </w:rPr>
              <w:t>、结构提供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勘察</w:t>
            </w:r>
            <w:r>
              <w:rPr>
                <w:rFonts w:ascii="仿宋" w:hAnsi="仿宋" w:eastAsia="仿宋"/>
                <w:sz w:val="24"/>
                <w:szCs w:val="24"/>
              </w:rPr>
              <w:t>报告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结构</w:t>
            </w:r>
            <w:r>
              <w:rPr>
                <w:rFonts w:ascii="仿宋" w:hAnsi="仿宋" w:eastAsia="仿宋"/>
                <w:sz w:val="24"/>
                <w:szCs w:val="24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环评报告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甲方</w:t>
            </w:r>
            <w:r>
              <w:rPr>
                <w:rFonts w:ascii="仿宋" w:hAnsi="仿宋" w:eastAsia="仿宋"/>
                <w:sz w:val="24"/>
                <w:szCs w:val="24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</w:t>
            </w:r>
            <w:r>
              <w:rPr>
                <w:rFonts w:ascii="仿宋" w:hAnsi="仿宋" w:eastAsia="仿宋"/>
                <w:sz w:val="24"/>
                <w:szCs w:val="24"/>
              </w:rPr>
              <w:t>检测报告或论证报告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土壤氡浓度检测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分析</w:t>
            </w:r>
            <w:r>
              <w:rPr>
                <w:rFonts w:ascii="仿宋" w:hAnsi="仿宋" w:eastAsia="仿宋"/>
                <w:sz w:val="24"/>
                <w:szCs w:val="24"/>
              </w:rPr>
              <w:t>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结构</w:t>
            </w:r>
            <w:r>
              <w:rPr>
                <w:rFonts w:ascii="仿宋" w:hAnsi="仿宋" w:eastAsia="仿宋"/>
                <w:sz w:val="24"/>
                <w:szCs w:val="24"/>
              </w:rPr>
              <w:t>计算书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结构</w:t>
            </w:r>
            <w:r>
              <w:rPr>
                <w:rFonts w:ascii="仿宋" w:hAnsi="仿宋" w:eastAsia="仿宋"/>
                <w:sz w:val="24"/>
                <w:szCs w:val="24"/>
              </w:rPr>
              <w:t>专业提供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设计图纸、</w:t>
            </w:r>
            <w:r>
              <w:rPr>
                <w:rFonts w:ascii="仿宋" w:hAnsi="仿宋" w:eastAsia="仿宋"/>
                <w:sz w:val="24"/>
                <w:szCs w:val="24"/>
              </w:rPr>
              <w:t>设计说明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各专业设计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</w:t>
            </w:r>
            <w:r>
              <w:rPr>
                <w:rFonts w:ascii="仿宋" w:hAnsi="仿宋" w:eastAsia="仿宋"/>
                <w:sz w:val="24"/>
                <w:szCs w:val="24"/>
              </w:rPr>
              <w:t>防护警示、引导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标识系统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须</w:t>
            </w:r>
            <w:r>
              <w:rPr>
                <w:rFonts w:ascii="仿宋" w:hAnsi="仿宋" w:eastAsia="仿宋"/>
                <w:sz w:val="24"/>
                <w:szCs w:val="24"/>
              </w:rPr>
              <w:t>满足《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安全</w:t>
            </w:r>
            <w:r>
              <w:rPr>
                <w:rFonts w:ascii="仿宋" w:hAnsi="仿宋" w:eastAsia="仿宋"/>
                <w:sz w:val="24"/>
                <w:szCs w:val="24"/>
              </w:rPr>
              <w:t>标志及其使用导则》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GB2894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restart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5.健康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舒适</w:t>
            </w: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室内</w:t>
            </w:r>
            <w:r>
              <w:rPr>
                <w:rFonts w:ascii="仿宋" w:hAnsi="仿宋" w:eastAsia="仿宋"/>
                <w:sz w:val="24"/>
                <w:szCs w:val="24"/>
              </w:rPr>
              <w:t>空气污染物浓度检测预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分析</w:t>
            </w:r>
            <w:r>
              <w:rPr>
                <w:rFonts w:ascii="仿宋" w:hAnsi="仿宋" w:eastAsia="仿宋"/>
                <w:sz w:val="24"/>
                <w:szCs w:val="24"/>
              </w:rPr>
              <w:t>报告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default" w:ascii="仿宋" w:hAnsi="仿宋" w:eastAsia="仿宋"/>
                <w:color w:val="5B9BD5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通风</w:t>
            </w: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计算软件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建筑）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建筑</w:t>
            </w:r>
            <w:r>
              <w:rPr>
                <w:rFonts w:ascii="仿宋" w:hAnsi="仿宋" w:eastAsia="仿宋"/>
                <w:sz w:val="24"/>
                <w:szCs w:val="24"/>
              </w:rPr>
              <w:t>、给排水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设计图纸、</w:t>
            </w:r>
            <w:r>
              <w:rPr>
                <w:rFonts w:ascii="仿宋" w:hAnsi="仿宋" w:eastAsia="仿宋"/>
                <w:sz w:val="24"/>
                <w:szCs w:val="24"/>
              </w:rPr>
              <w:t>设计说明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建筑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说明中须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含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禁烟标志的设置原则、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特殊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功能房间的通风排烟设施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室内</w:t>
            </w:r>
            <w:r>
              <w:rPr>
                <w:rFonts w:ascii="仿宋" w:hAnsi="仿宋" w:eastAsia="仿宋"/>
                <w:sz w:val="24"/>
                <w:szCs w:val="24"/>
              </w:rPr>
              <w:t>噪声模拟分析报告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声环境</w:t>
            </w: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计算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软件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建筑）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构件</w:t>
            </w:r>
            <w:r>
              <w:rPr>
                <w:rFonts w:ascii="仿宋" w:hAnsi="仿宋" w:eastAsia="仿宋"/>
                <w:sz w:val="24"/>
                <w:szCs w:val="24"/>
              </w:rPr>
              <w:t>隔声性能检测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分析</w:t>
            </w:r>
            <w:r>
              <w:rPr>
                <w:rFonts w:ascii="仿宋" w:hAnsi="仿宋" w:eastAsia="仿宋"/>
                <w:sz w:val="24"/>
                <w:szCs w:val="24"/>
              </w:rPr>
              <w:t>报告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声环境</w:t>
            </w: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计算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软件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建筑）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电气</w:t>
            </w:r>
            <w:r>
              <w:rPr>
                <w:rFonts w:ascii="仿宋" w:hAnsi="仿宋" w:eastAsia="仿宋"/>
                <w:sz w:val="24"/>
                <w:szCs w:val="24"/>
              </w:rPr>
              <w:t>施工图，计算书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设计</w:t>
            </w:r>
            <w:r>
              <w:rPr>
                <w:rFonts w:ascii="仿宋" w:hAnsi="仿宋" w:eastAsia="仿宋"/>
                <w:sz w:val="24"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暖通</w:t>
            </w:r>
            <w:r>
              <w:rPr>
                <w:rFonts w:ascii="仿宋" w:hAnsi="仿宋" w:eastAsia="仿宋"/>
                <w:sz w:val="24"/>
                <w:szCs w:val="24"/>
              </w:rPr>
              <w:t>施工图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建筑施工图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设计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建筑</w:t>
            </w:r>
            <w:r>
              <w:rPr>
                <w:rFonts w:ascii="仿宋" w:hAnsi="仿宋" w:eastAsia="仿宋"/>
                <w:sz w:val="24"/>
                <w:szCs w:val="24"/>
              </w:rPr>
              <w:t>节能计算书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color w:val="5B9BD5" w:themeColor="accent1"/>
                <w:sz w:val="24"/>
                <w:szCs w:val="24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节能计算软件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围护结构、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隔热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结露计算书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内部冷凝计算报告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建筑）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暖通</w:t>
            </w:r>
            <w:r>
              <w:rPr>
                <w:rFonts w:ascii="仿宋" w:hAnsi="仿宋" w:eastAsia="仿宋"/>
                <w:sz w:val="24"/>
                <w:szCs w:val="24"/>
              </w:rPr>
              <w:t>施工图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暖通专业提供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暖通、电气施工图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一氧化碳浓度检测及联动装置(设置地下车库项目）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restart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6.生活便利</w:t>
            </w: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室外场地设计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无障碍步行系统设计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总图、场地公共交通设施分布图、专业接驳车服务实施方案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电气，建筑停车位设计文件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电动汽车充电设计，预留充电设施安装条件、设置电动汽车位和无障碍车位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总图或者建筑单体设计施工图</w:t>
            </w:r>
          </w:p>
        </w:tc>
        <w:tc>
          <w:tcPr>
            <w:tcW w:w="1599" w:type="pct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自行车停车场所的设计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电气施工图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pct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建筑设备管理系统（具体自动监控功能）</w:t>
            </w:r>
          </w:p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信息网络系统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restart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7.资源节约</w:t>
            </w: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节能设计文件、建筑效果图、建筑日照模拟计算报告、优化设计报告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节能计算软件、日照分析软件（建筑）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暖通专业设计文件及计算书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default" w:ascii="仿宋" w:hAnsi="仿宋" w:eastAsia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负荷、能耗、分区温度设定标准、冷热源输配系统能耗独立分项计量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电气设计文件及计算书</w:t>
            </w:r>
          </w:p>
        </w:tc>
        <w:tc>
          <w:tcPr>
            <w:tcW w:w="1599" w:type="pct"/>
            <w:vAlign w:val="top"/>
          </w:tcPr>
          <w:p>
            <w:pPr>
              <w:jc w:val="both"/>
              <w:rPr>
                <w:rFonts w:hint="default" w:ascii="仿宋" w:hAnsi="仿宋" w:eastAsia="仿宋" w:cstheme="minorBidi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照明设计（照明功率密度）、电梯、扶梯相关节能控制措施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给排水设计文件、水资源利用方案及在设计中的落实说明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建施、结施、建筑形体规则性判定报告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结构</w:t>
            </w:r>
            <w:r>
              <w:rPr>
                <w:rFonts w:ascii="仿宋" w:hAnsi="仿宋" w:eastAsia="仿宋"/>
                <w:sz w:val="24"/>
                <w:szCs w:val="24"/>
              </w:rPr>
              <w:t>专业提供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建施、装饰性构件功能说明书及造价计算书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建筑</w:t>
            </w:r>
            <w:r>
              <w:rPr>
                <w:rFonts w:ascii="仿宋" w:hAnsi="仿宋" w:eastAsia="仿宋"/>
                <w:sz w:val="24"/>
                <w:szCs w:val="24"/>
              </w:rPr>
              <w:t>专业提供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结施、工程材料预算清单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500KM内选材，预拌混凝土及预拌砂浆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restart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8.环境宜居</w:t>
            </w: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建施、日照分析报告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日照分析软件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（建筑或方案）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建施、总图、场地热环境计算报告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default" w:ascii="仿宋" w:hAnsi="仿宋" w:eastAsia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热环境计算软件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（建筑专业）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总图、景观施工图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default" w:ascii="仿宋" w:hAnsi="仿宋" w:eastAsia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苗木表、屋顶绿化、覆土绿化或/和垂直绿化的区域及面积、种植区域的覆土深度、排水设计（建筑结合景观）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场地竖向设计图、年径流总量控制率计算书、设计控制雨量计算书、场地雨水综合利用方案或专项设计文件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建筑专业、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给排水专业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标识系统设计文件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建筑专业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（公共建筑标识系统技术规范）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环评报告、治理措施分析报告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建筑专业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场地内不应有排放超标污染源）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总图、垃圾收集设施布置图</w:t>
            </w: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建筑专业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pct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pct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满足控制项所需要的计算软件（建筑专业）：通风计算软件、声环境计算软件、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节能计算软件、日照分析软件、热环境计算软件。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224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一星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（评分项）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vMerge w:val="restart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4.安全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耐久</w:t>
            </w:r>
          </w:p>
        </w:tc>
        <w:tc>
          <w:tcPr>
            <w:tcW w:w="2478" w:type="pct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提供报告</w:t>
            </w:r>
          </w:p>
        </w:tc>
        <w:tc>
          <w:tcPr>
            <w:tcW w:w="1601" w:type="pct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结构计算书，结构设计文件</w:t>
            </w:r>
          </w:p>
        </w:tc>
        <w:tc>
          <w:tcPr>
            <w:tcW w:w="1601" w:type="pct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基于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性能的抗震设计并合理提高建筑抗震性能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vMerge w:val="continue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pct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1" w:type="pct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NGYzNzRkMTk5MWU0OTkwZWM3ZThhZTE2YzJmZGMifQ=="/>
  </w:docVars>
  <w:rsids>
    <w:rsidRoot w:val="00D97A41"/>
    <w:rsid w:val="00050B0A"/>
    <w:rsid w:val="000A0308"/>
    <w:rsid w:val="000B49E7"/>
    <w:rsid w:val="00107E34"/>
    <w:rsid w:val="0011052F"/>
    <w:rsid w:val="00140D95"/>
    <w:rsid w:val="00182A91"/>
    <w:rsid w:val="001D690F"/>
    <w:rsid w:val="001F4044"/>
    <w:rsid w:val="00300CFE"/>
    <w:rsid w:val="00394360"/>
    <w:rsid w:val="003B3CD1"/>
    <w:rsid w:val="003B6DA7"/>
    <w:rsid w:val="00414A90"/>
    <w:rsid w:val="00416912"/>
    <w:rsid w:val="00427664"/>
    <w:rsid w:val="00436E1D"/>
    <w:rsid w:val="004509CF"/>
    <w:rsid w:val="004564F2"/>
    <w:rsid w:val="0048279C"/>
    <w:rsid w:val="0049071C"/>
    <w:rsid w:val="004C2D6C"/>
    <w:rsid w:val="004C5598"/>
    <w:rsid w:val="004E266A"/>
    <w:rsid w:val="0052171C"/>
    <w:rsid w:val="00540677"/>
    <w:rsid w:val="005546F4"/>
    <w:rsid w:val="005A6BA2"/>
    <w:rsid w:val="005D51B2"/>
    <w:rsid w:val="00600568"/>
    <w:rsid w:val="0061316C"/>
    <w:rsid w:val="00620DA9"/>
    <w:rsid w:val="00635C1E"/>
    <w:rsid w:val="00652139"/>
    <w:rsid w:val="00655518"/>
    <w:rsid w:val="00672D69"/>
    <w:rsid w:val="006B72D0"/>
    <w:rsid w:val="006C2AE2"/>
    <w:rsid w:val="006C4462"/>
    <w:rsid w:val="006C45E2"/>
    <w:rsid w:val="0074027B"/>
    <w:rsid w:val="00766DD9"/>
    <w:rsid w:val="00774DFB"/>
    <w:rsid w:val="00783D85"/>
    <w:rsid w:val="007B6429"/>
    <w:rsid w:val="007D4D6C"/>
    <w:rsid w:val="0082140E"/>
    <w:rsid w:val="0084541A"/>
    <w:rsid w:val="00892F88"/>
    <w:rsid w:val="00932F0A"/>
    <w:rsid w:val="00936E52"/>
    <w:rsid w:val="00985422"/>
    <w:rsid w:val="009A34D0"/>
    <w:rsid w:val="009C3F96"/>
    <w:rsid w:val="009E28F4"/>
    <w:rsid w:val="009F3B83"/>
    <w:rsid w:val="00A00BD5"/>
    <w:rsid w:val="00A4760B"/>
    <w:rsid w:val="00A6612C"/>
    <w:rsid w:val="00AD6DA2"/>
    <w:rsid w:val="00B27A6F"/>
    <w:rsid w:val="00BB743D"/>
    <w:rsid w:val="00BC29C7"/>
    <w:rsid w:val="00BC7736"/>
    <w:rsid w:val="00BE28D3"/>
    <w:rsid w:val="00C1389B"/>
    <w:rsid w:val="00C331AB"/>
    <w:rsid w:val="00C35402"/>
    <w:rsid w:val="00C52C50"/>
    <w:rsid w:val="00C75CFB"/>
    <w:rsid w:val="00C97D97"/>
    <w:rsid w:val="00CA2A40"/>
    <w:rsid w:val="00CA3739"/>
    <w:rsid w:val="00CB5832"/>
    <w:rsid w:val="00CB72A4"/>
    <w:rsid w:val="00CC0D24"/>
    <w:rsid w:val="00D145BB"/>
    <w:rsid w:val="00D52BC3"/>
    <w:rsid w:val="00D621ED"/>
    <w:rsid w:val="00D92245"/>
    <w:rsid w:val="00D97A41"/>
    <w:rsid w:val="00DC65AC"/>
    <w:rsid w:val="00DD433A"/>
    <w:rsid w:val="00E81931"/>
    <w:rsid w:val="00E974C7"/>
    <w:rsid w:val="00EB4A45"/>
    <w:rsid w:val="00EC3EC1"/>
    <w:rsid w:val="00ED0381"/>
    <w:rsid w:val="00EE0705"/>
    <w:rsid w:val="00EE22A2"/>
    <w:rsid w:val="00F256B5"/>
    <w:rsid w:val="00FA6682"/>
    <w:rsid w:val="00FC0E3A"/>
    <w:rsid w:val="014C6B51"/>
    <w:rsid w:val="016D6980"/>
    <w:rsid w:val="01F571E8"/>
    <w:rsid w:val="02206E81"/>
    <w:rsid w:val="044E2BE0"/>
    <w:rsid w:val="04FF037E"/>
    <w:rsid w:val="09D83D52"/>
    <w:rsid w:val="0CA346E9"/>
    <w:rsid w:val="0CB809E1"/>
    <w:rsid w:val="148F7029"/>
    <w:rsid w:val="1662251B"/>
    <w:rsid w:val="17062EEA"/>
    <w:rsid w:val="178F7340"/>
    <w:rsid w:val="1977452F"/>
    <w:rsid w:val="1A4274FB"/>
    <w:rsid w:val="1DAC16C4"/>
    <w:rsid w:val="1EAF2555"/>
    <w:rsid w:val="209C2837"/>
    <w:rsid w:val="24424BB7"/>
    <w:rsid w:val="253E5F41"/>
    <w:rsid w:val="263E265D"/>
    <w:rsid w:val="26C52CA5"/>
    <w:rsid w:val="28D64DCE"/>
    <w:rsid w:val="29D87414"/>
    <w:rsid w:val="2A7A685C"/>
    <w:rsid w:val="32713DBA"/>
    <w:rsid w:val="33FA3E2F"/>
    <w:rsid w:val="351A24E7"/>
    <w:rsid w:val="3E1F6D4D"/>
    <w:rsid w:val="4128039B"/>
    <w:rsid w:val="43040332"/>
    <w:rsid w:val="434F65B4"/>
    <w:rsid w:val="46276812"/>
    <w:rsid w:val="467F03FC"/>
    <w:rsid w:val="475305F1"/>
    <w:rsid w:val="48992953"/>
    <w:rsid w:val="4A2C1D40"/>
    <w:rsid w:val="4B0764AF"/>
    <w:rsid w:val="4CE30FB8"/>
    <w:rsid w:val="4F5B4E49"/>
    <w:rsid w:val="505E1AF1"/>
    <w:rsid w:val="52554706"/>
    <w:rsid w:val="55A752FC"/>
    <w:rsid w:val="57695613"/>
    <w:rsid w:val="5B264E92"/>
    <w:rsid w:val="5BDD0706"/>
    <w:rsid w:val="5D855285"/>
    <w:rsid w:val="607532B0"/>
    <w:rsid w:val="61026EA9"/>
    <w:rsid w:val="61E810F3"/>
    <w:rsid w:val="65121DC9"/>
    <w:rsid w:val="665E3732"/>
    <w:rsid w:val="66D43C9F"/>
    <w:rsid w:val="6902313D"/>
    <w:rsid w:val="6D4247F1"/>
    <w:rsid w:val="6F0137F4"/>
    <w:rsid w:val="6F997ED1"/>
    <w:rsid w:val="73EF6311"/>
    <w:rsid w:val="740F0761"/>
    <w:rsid w:val="778820FE"/>
    <w:rsid w:val="794E7636"/>
    <w:rsid w:val="7A6934B6"/>
    <w:rsid w:val="7A94376E"/>
    <w:rsid w:val="7BEA5B87"/>
    <w:rsid w:val="7C32323F"/>
    <w:rsid w:val="7FB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1086</Words>
  <Characters>1101</Characters>
  <Lines>3</Lines>
  <Paragraphs>1</Paragraphs>
  <TotalTime>4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2023-07-03T08:11:00Z</dcterms:created>
  <dc:creator>Administrator</dc:creator>
  <cp:lastModifiedBy>卫</cp:lastModifiedBy>
  <dcterms:modified xsi:type="dcterms:W3CDTF">2023-07-04T01:23:09Z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6363BA2AA4FE4AAE837AA7B0873AE452_12</vt:lpwstr>
  </property>
</Properties>
</file>