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绿色建筑基本级、一星、二星、三星所需提交的资料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9"/>
        <w:gridCol w:w="4224"/>
        <w:gridCol w:w="2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基本级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restart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4.安全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耐久</w:t>
            </w:r>
          </w:p>
        </w:tc>
        <w:tc>
          <w:tcPr>
            <w:tcW w:w="2478" w:type="pct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提供报告</w:t>
            </w:r>
          </w:p>
        </w:tc>
        <w:tc>
          <w:tcPr>
            <w:tcW w:w="1599" w:type="pct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</w:t>
            </w:r>
            <w:r>
              <w:rPr>
                <w:rFonts w:ascii="仿宋" w:hAnsi="仿宋" w:eastAsia="仿宋"/>
                <w:sz w:val="24"/>
                <w:szCs w:val="24"/>
              </w:rPr>
              <w:t>区位图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（区位分析图）</w:t>
            </w:r>
          </w:p>
        </w:tc>
        <w:tc>
          <w:tcPr>
            <w:tcW w:w="1599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方案</w:t>
            </w:r>
            <w:r>
              <w:rPr>
                <w:rFonts w:ascii="仿宋" w:hAnsi="仿宋" w:eastAsia="仿宋"/>
                <w:sz w:val="24"/>
                <w:szCs w:val="24"/>
              </w:rPr>
              <w:t>、结构提供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场地</w:t>
            </w:r>
            <w:r>
              <w:rPr>
                <w:rFonts w:ascii="仿宋" w:hAnsi="仿宋" w:eastAsia="仿宋"/>
                <w:sz w:val="24"/>
                <w:szCs w:val="24"/>
              </w:rPr>
              <w:t>地形图</w:t>
            </w:r>
          </w:p>
        </w:tc>
        <w:tc>
          <w:tcPr>
            <w:tcW w:w="1599" w:type="pct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方案</w:t>
            </w:r>
            <w:r>
              <w:rPr>
                <w:rFonts w:ascii="仿宋" w:hAnsi="仿宋" w:eastAsia="仿宋"/>
                <w:sz w:val="24"/>
                <w:szCs w:val="24"/>
              </w:rPr>
              <w:t>、结构提供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勘察</w:t>
            </w:r>
            <w:r>
              <w:rPr>
                <w:rFonts w:ascii="仿宋" w:hAnsi="仿宋" w:eastAsia="仿宋"/>
                <w:sz w:val="24"/>
                <w:szCs w:val="24"/>
              </w:rPr>
              <w:t>报告</w:t>
            </w:r>
          </w:p>
        </w:tc>
        <w:tc>
          <w:tcPr>
            <w:tcW w:w="1599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结构</w:t>
            </w:r>
            <w:r>
              <w:rPr>
                <w:rFonts w:ascii="仿宋" w:hAnsi="仿宋" w:eastAsia="仿宋"/>
                <w:sz w:val="24"/>
                <w:szCs w:val="24"/>
              </w:rPr>
              <w:t>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环评报告</w:t>
            </w:r>
          </w:p>
        </w:tc>
        <w:tc>
          <w:tcPr>
            <w:tcW w:w="1599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甲方</w:t>
            </w:r>
            <w:r>
              <w:rPr>
                <w:rFonts w:ascii="仿宋" w:hAnsi="仿宋" w:eastAsia="仿宋"/>
                <w:sz w:val="24"/>
                <w:szCs w:val="24"/>
              </w:rPr>
              <w:t>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相关</w:t>
            </w:r>
            <w:r>
              <w:rPr>
                <w:rFonts w:ascii="仿宋" w:hAnsi="仿宋" w:eastAsia="仿宋"/>
                <w:sz w:val="24"/>
                <w:szCs w:val="24"/>
              </w:rPr>
              <w:t>检测报告或论证报告</w:t>
            </w:r>
          </w:p>
        </w:tc>
        <w:tc>
          <w:tcPr>
            <w:tcW w:w="1599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如</w:t>
            </w:r>
            <w:r>
              <w:rPr>
                <w:rFonts w:ascii="仿宋" w:hAnsi="仿宋" w:eastAsia="仿宋"/>
                <w:sz w:val="24"/>
                <w:szCs w:val="24"/>
              </w:rPr>
              <w:t>土壤氡浓度检测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分析</w:t>
            </w:r>
            <w:r>
              <w:rPr>
                <w:rFonts w:ascii="仿宋" w:hAnsi="仿宋" w:eastAsia="仿宋"/>
                <w:sz w:val="24"/>
                <w:szCs w:val="24"/>
              </w:rPr>
              <w:t>报告等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结构</w:t>
            </w:r>
            <w:r>
              <w:rPr>
                <w:rFonts w:ascii="仿宋" w:hAnsi="仿宋" w:eastAsia="仿宋"/>
                <w:sz w:val="24"/>
                <w:szCs w:val="24"/>
              </w:rPr>
              <w:t>计算书</w:t>
            </w:r>
          </w:p>
        </w:tc>
        <w:tc>
          <w:tcPr>
            <w:tcW w:w="1599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结构</w:t>
            </w:r>
            <w:r>
              <w:rPr>
                <w:rFonts w:ascii="仿宋" w:hAnsi="仿宋" w:eastAsia="仿宋"/>
                <w:sz w:val="24"/>
                <w:szCs w:val="24"/>
              </w:rPr>
              <w:t>专业提供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设计图纸、</w:t>
            </w:r>
            <w:r>
              <w:rPr>
                <w:rFonts w:ascii="仿宋" w:hAnsi="仿宋" w:eastAsia="仿宋"/>
                <w:sz w:val="24"/>
                <w:szCs w:val="24"/>
              </w:rPr>
              <w:t>设计说明</w:t>
            </w:r>
          </w:p>
        </w:tc>
        <w:tc>
          <w:tcPr>
            <w:tcW w:w="1599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各专业设计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安全</w:t>
            </w:r>
            <w:r>
              <w:rPr>
                <w:rFonts w:ascii="仿宋" w:hAnsi="仿宋" w:eastAsia="仿宋"/>
                <w:sz w:val="24"/>
                <w:szCs w:val="24"/>
              </w:rPr>
              <w:t>防护警示、引导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标识系统</w:t>
            </w:r>
          </w:p>
        </w:tc>
        <w:tc>
          <w:tcPr>
            <w:tcW w:w="1599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须</w:t>
            </w:r>
            <w:r>
              <w:rPr>
                <w:rFonts w:ascii="仿宋" w:hAnsi="仿宋" w:eastAsia="仿宋"/>
                <w:sz w:val="24"/>
                <w:szCs w:val="24"/>
              </w:rPr>
              <w:t>满足《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安全</w:t>
            </w:r>
            <w:r>
              <w:rPr>
                <w:rFonts w:ascii="仿宋" w:hAnsi="仿宋" w:eastAsia="仿宋"/>
                <w:sz w:val="24"/>
                <w:szCs w:val="24"/>
              </w:rPr>
              <w:t>标志及其使用导则》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GB2894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restart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5.健康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舒适</w:t>
            </w:r>
          </w:p>
        </w:tc>
        <w:tc>
          <w:tcPr>
            <w:tcW w:w="2478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室内</w:t>
            </w:r>
            <w:r>
              <w:rPr>
                <w:rFonts w:ascii="仿宋" w:hAnsi="仿宋" w:eastAsia="仿宋"/>
                <w:sz w:val="24"/>
                <w:szCs w:val="24"/>
              </w:rPr>
              <w:t>空气污染物浓度检测预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分析</w:t>
            </w:r>
            <w:r>
              <w:rPr>
                <w:rFonts w:ascii="仿宋" w:hAnsi="仿宋" w:eastAsia="仿宋"/>
                <w:sz w:val="24"/>
                <w:szCs w:val="24"/>
              </w:rPr>
              <w:t>报告</w:t>
            </w:r>
          </w:p>
        </w:tc>
        <w:tc>
          <w:tcPr>
            <w:tcW w:w="1599" w:type="pct"/>
          </w:tcPr>
          <w:p>
            <w:pPr>
              <w:jc w:val="center"/>
              <w:rPr>
                <w:rFonts w:hint="default" w:ascii="仿宋" w:hAnsi="仿宋" w:eastAsia="仿宋"/>
                <w:color w:val="5B9BD5" w:themeColor="accent1"/>
                <w:sz w:val="24"/>
                <w:szCs w:val="24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FF"/>
                <w:sz w:val="24"/>
                <w:szCs w:val="24"/>
              </w:rPr>
              <w:t>通风</w:t>
            </w:r>
            <w:r>
              <w:rPr>
                <w:rFonts w:ascii="仿宋" w:hAnsi="仿宋" w:eastAsia="仿宋"/>
                <w:color w:val="0000FF"/>
                <w:sz w:val="24"/>
                <w:szCs w:val="24"/>
              </w:rPr>
              <w:t>计算软件</w:t>
            </w:r>
            <w:r>
              <w:rPr>
                <w:rFonts w:hint="eastAsia" w:ascii="仿宋" w:hAnsi="仿宋" w:eastAsia="仿宋"/>
                <w:color w:val="0000FF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color w:val="0000FF"/>
                <w:sz w:val="24"/>
                <w:szCs w:val="24"/>
                <w:lang w:val="en-US" w:eastAsia="zh-CN"/>
              </w:rPr>
              <w:t>建筑）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921" w:type="pct"/>
            <w:vMerge w:val="continue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建筑</w:t>
            </w:r>
            <w:r>
              <w:rPr>
                <w:rFonts w:ascii="仿宋" w:hAnsi="仿宋" w:eastAsia="仿宋"/>
                <w:sz w:val="24"/>
                <w:szCs w:val="24"/>
              </w:rPr>
              <w:t>、给排水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设计图纸、</w:t>
            </w:r>
            <w:r>
              <w:rPr>
                <w:rFonts w:ascii="仿宋" w:hAnsi="仿宋" w:eastAsia="仿宋"/>
                <w:sz w:val="24"/>
                <w:szCs w:val="24"/>
              </w:rPr>
              <w:t>设计说明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599" w:type="pct"/>
          </w:tcPr>
          <w:p>
            <w:pPr>
              <w:jc w:val="center"/>
              <w:rPr>
                <w:rFonts w:hint="eastAsia" w:ascii="仿宋" w:hAnsi="仿宋" w:eastAsia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建筑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说明中须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含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禁烟标志的设置原则、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特殊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功能房间的通风排烟设施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室内</w:t>
            </w:r>
            <w:r>
              <w:rPr>
                <w:rFonts w:ascii="仿宋" w:hAnsi="仿宋" w:eastAsia="仿宋"/>
                <w:sz w:val="24"/>
                <w:szCs w:val="24"/>
              </w:rPr>
              <w:t>噪声模拟分析报告</w:t>
            </w:r>
          </w:p>
        </w:tc>
        <w:tc>
          <w:tcPr>
            <w:tcW w:w="1599" w:type="pct"/>
          </w:tcPr>
          <w:p>
            <w:pPr>
              <w:jc w:val="center"/>
              <w:rPr>
                <w:rFonts w:hint="eastAsia" w:ascii="仿宋" w:hAnsi="仿宋" w:eastAsia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FF"/>
                <w:sz w:val="24"/>
                <w:szCs w:val="24"/>
              </w:rPr>
              <w:t>声环境</w:t>
            </w:r>
            <w:r>
              <w:rPr>
                <w:rFonts w:ascii="仿宋" w:hAnsi="仿宋" w:eastAsia="仿宋"/>
                <w:color w:val="0000FF"/>
                <w:sz w:val="24"/>
                <w:szCs w:val="24"/>
              </w:rPr>
              <w:t>计算</w:t>
            </w:r>
            <w:r>
              <w:rPr>
                <w:rFonts w:hint="eastAsia" w:ascii="仿宋" w:hAnsi="仿宋" w:eastAsia="仿宋"/>
                <w:color w:val="0000FF"/>
                <w:sz w:val="24"/>
                <w:szCs w:val="24"/>
              </w:rPr>
              <w:t>软件</w:t>
            </w:r>
            <w:r>
              <w:rPr>
                <w:rFonts w:hint="eastAsia" w:ascii="仿宋" w:hAnsi="仿宋" w:eastAsia="仿宋"/>
                <w:color w:val="0000FF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color w:val="0000FF"/>
                <w:sz w:val="24"/>
                <w:szCs w:val="24"/>
                <w:lang w:val="en-US" w:eastAsia="zh-CN"/>
              </w:rPr>
              <w:t>建筑）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构件</w:t>
            </w:r>
            <w:r>
              <w:rPr>
                <w:rFonts w:ascii="仿宋" w:hAnsi="仿宋" w:eastAsia="仿宋"/>
                <w:sz w:val="24"/>
                <w:szCs w:val="24"/>
              </w:rPr>
              <w:t>隔声性能检测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分析</w:t>
            </w:r>
            <w:r>
              <w:rPr>
                <w:rFonts w:ascii="仿宋" w:hAnsi="仿宋" w:eastAsia="仿宋"/>
                <w:sz w:val="24"/>
                <w:szCs w:val="24"/>
              </w:rPr>
              <w:t>报告</w:t>
            </w:r>
          </w:p>
        </w:tc>
        <w:tc>
          <w:tcPr>
            <w:tcW w:w="1599" w:type="pct"/>
          </w:tcPr>
          <w:p>
            <w:pPr>
              <w:jc w:val="center"/>
              <w:rPr>
                <w:rFonts w:hint="eastAsia" w:ascii="仿宋" w:hAnsi="仿宋" w:eastAsia="仿宋"/>
                <w:color w:val="5B9BD5" w:themeColor="accent1"/>
                <w:sz w:val="24"/>
                <w:szCs w:val="24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FF"/>
                <w:sz w:val="24"/>
                <w:szCs w:val="24"/>
              </w:rPr>
              <w:t>声环境</w:t>
            </w:r>
            <w:r>
              <w:rPr>
                <w:rFonts w:ascii="仿宋" w:hAnsi="仿宋" w:eastAsia="仿宋"/>
                <w:color w:val="0000FF"/>
                <w:sz w:val="24"/>
                <w:szCs w:val="24"/>
              </w:rPr>
              <w:t>计算</w:t>
            </w:r>
            <w:r>
              <w:rPr>
                <w:rFonts w:hint="eastAsia" w:ascii="仿宋" w:hAnsi="仿宋" w:eastAsia="仿宋"/>
                <w:color w:val="0000FF"/>
                <w:sz w:val="24"/>
                <w:szCs w:val="24"/>
              </w:rPr>
              <w:t>软件</w:t>
            </w:r>
            <w:r>
              <w:rPr>
                <w:rFonts w:hint="eastAsia" w:ascii="仿宋" w:hAnsi="仿宋" w:eastAsia="仿宋"/>
                <w:color w:val="0000FF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color w:val="0000FF"/>
                <w:sz w:val="24"/>
                <w:szCs w:val="24"/>
                <w:lang w:val="en-US" w:eastAsia="zh-CN"/>
              </w:rPr>
              <w:t>建筑）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电气</w:t>
            </w:r>
            <w:r>
              <w:rPr>
                <w:rFonts w:ascii="仿宋" w:hAnsi="仿宋" w:eastAsia="仿宋"/>
                <w:sz w:val="24"/>
                <w:szCs w:val="24"/>
              </w:rPr>
              <w:t>施工图，计算书</w:t>
            </w:r>
          </w:p>
        </w:tc>
        <w:tc>
          <w:tcPr>
            <w:tcW w:w="1599" w:type="pct"/>
          </w:tcPr>
          <w:p>
            <w:pPr>
              <w:jc w:val="center"/>
              <w:rPr>
                <w:rFonts w:hint="eastAsia" w:ascii="仿宋" w:hAnsi="仿宋" w:eastAsia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设计</w:t>
            </w:r>
            <w:r>
              <w:rPr>
                <w:rFonts w:ascii="仿宋" w:hAnsi="仿宋" w:eastAsia="仿宋"/>
                <w:sz w:val="24"/>
                <w:szCs w:val="24"/>
              </w:rPr>
              <w:t>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暖通</w:t>
            </w:r>
            <w:r>
              <w:rPr>
                <w:rFonts w:ascii="仿宋" w:hAnsi="仿宋" w:eastAsia="仿宋"/>
                <w:sz w:val="24"/>
                <w:szCs w:val="24"/>
              </w:rPr>
              <w:t>施工图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，</w:t>
            </w:r>
            <w:r>
              <w:rPr>
                <w:rFonts w:ascii="仿宋" w:hAnsi="仿宋" w:eastAsia="仿宋"/>
                <w:sz w:val="24"/>
                <w:szCs w:val="24"/>
              </w:rPr>
              <w:t>建筑施工图</w:t>
            </w:r>
          </w:p>
        </w:tc>
        <w:tc>
          <w:tcPr>
            <w:tcW w:w="1599" w:type="pct"/>
          </w:tcPr>
          <w:p>
            <w:pPr>
              <w:jc w:val="center"/>
              <w:rPr>
                <w:rFonts w:hint="eastAsia" w:ascii="仿宋" w:hAnsi="仿宋" w:eastAsia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设计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建筑</w:t>
            </w:r>
            <w:r>
              <w:rPr>
                <w:rFonts w:ascii="仿宋" w:hAnsi="仿宋" w:eastAsia="仿宋"/>
                <w:sz w:val="24"/>
                <w:szCs w:val="24"/>
              </w:rPr>
              <w:t>节能计算书</w:t>
            </w:r>
          </w:p>
        </w:tc>
        <w:tc>
          <w:tcPr>
            <w:tcW w:w="1599" w:type="pct"/>
          </w:tcPr>
          <w:p>
            <w:pPr>
              <w:jc w:val="center"/>
              <w:rPr>
                <w:rFonts w:hint="eastAsia" w:ascii="仿宋" w:hAnsi="仿宋" w:eastAsia="仿宋"/>
                <w:color w:val="5B9BD5" w:themeColor="accent1"/>
                <w:sz w:val="24"/>
                <w:szCs w:val="24"/>
                <w:lang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FF"/>
                <w:sz w:val="24"/>
                <w:szCs w:val="24"/>
                <w:lang w:val="en-US" w:eastAsia="zh-CN"/>
              </w:rPr>
              <w:t>节能计算软件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围护结构、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隔热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、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结露计算书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、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内部冷凝计算报告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eastAsia="zh-CN"/>
              </w:rPr>
              <w:t>）（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  <w:t>建筑）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921" w:type="pct"/>
            <w:vMerge w:val="continue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暖通</w:t>
            </w:r>
            <w:r>
              <w:rPr>
                <w:rFonts w:ascii="仿宋" w:hAnsi="仿宋" w:eastAsia="仿宋"/>
                <w:sz w:val="24"/>
                <w:szCs w:val="24"/>
              </w:rPr>
              <w:t>施工图</w:t>
            </w:r>
          </w:p>
        </w:tc>
        <w:tc>
          <w:tcPr>
            <w:tcW w:w="1599" w:type="pct"/>
          </w:tcPr>
          <w:p>
            <w:pPr>
              <w:jc w:val="center"/>
              <w:rPr>
                <w:rFonts w:hint="default" w:ascii="仿宋" w:hAnsi="仿宋" w:eastAsia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暖通专业提供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暖通、电气施工图</w:t>
            </w:r>
          </w:p>
        </w:tc>
        <w:tc>
          <w:tcPr>
            <w:tcW w:w="1599" w:type="pct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一氧化碳浓度检测及联动装置(设置地下车库项目）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restart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6.生活便利</w:t>
            </w:r>
          </w:p>
        </w:tc>
        <w:tc>
          <w:tcPr>
            <w:tcW w:w="2478" w:type="pct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室外场地设计</w:t>
            </w:r>
          </w:p>
        </w:tc>
        <w:tc>
          <w:tcPr>
            <w:tcW w:w="1599" w:type="pct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无障碍步行系统设计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总图、场地公共交通设施分布图、专业接驳车服务实施方案</w:t>
            </w:r>
          </w:p>
        </w:tc>
        <w:tc>
          <w:tcPr>
            <w:tcW w:w="1599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电气，建筑停车位设计文件</w:t>
            </w:r>
          </w:p>
        </w:tc>
        <w:tc>
          <w:tcPr>
            <w:tcW w:w="1599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  <w:t>电动汽车充电设计，预留充电设施安装条件、设置电动汽车位和无障碍车位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总图或者建筑单体设计施工图</w:t>
            </w:r>
          </w:p>
        </w:tc>
        <w:tc>
          <w:tcPr>
            <w:tcW w:w="1599" w:type="pct"/>
          </w:tcPr>
          <w:p>
            <w:pPr>
              <w:jc w:val="center"/>
              <w:rPr>
                <w:rFonts w:hint="default" w:ascii="仿宋" w:hAnsi="仿宋" w:eastAsia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  <w:t>自行车停车场所的设计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电气施工图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pct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建筑设备管理系统（具体自动监控功能）</w:t>
            </w:r>
          </w:p>
          <w:p>
            <w:pPr>
              <w:jc w:val="center"/>
              <w:rPr>
                <w:rFonts w:hint="default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信息网络系统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restart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7.资源节约</w:t>
            </w:r>
          </w:p>
        </w:tc>
        <w:tc>
          <w:tcPr>
            <w:tcW w:w="2478" w:type="pct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节能设计文件、建筑效果图、建筑日照模拟计算报告、优化设计报告</w:t>
            </w:r>
          </w:p>
        </w:tc>
        <w:tc>
          <w:tcPr>
            <w:tcW w:w="1599" w:type="pct"/>
          </w:tcPr>
          <w:p>
            <w:pPr>
              <w:jc w:val="both"/>
              <w:rPr>
                <w:rFonts w:hint="default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FF"/>
                <w:sz w:val="24"/>
                <w:szCs w:val="24"/>
                <w:lang w:val="en-US" w:eastAsia="zh-CN"/>
              </w:rPr>
              <w:t>节能计算软件、日照分析软件（建筑）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暖通专业设计文件及计算书</w:t>
            </w:r>
          </w:p>
        </w:tc>
        <w:tc>
          <w:tcPr>
            <w:tcW w:w="1599" w:type="pct"/>
          </w:tcPr>
          <w:p>
            <w:pPr>
              <w:jc w:val="both"/>
              <w:rPr>
                <w:rFonts w:hint="default" w:ascii="仿宋" w:hAnsi="仿宋" w:eastAsia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负荷、能耗、分区温度设定标准、冷热源输配系统能耗独立分项计量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pct"/>
            <w:vAlign w:val="top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电气设计文件及计算书</w:t>
            </w:r>
          </w:p>
        </w:tc>
        <w:tc>
          <w:tcPr>
            <w:tcW w:w="1599" w:type="pct"/>
            <w:vAlign w:val="top"/>
          </w:tcPr>
          <w:p>
            <w:pPr>
              <w:jc w:val="both"/>
              <w:rPr>
                <w:rFonts w:hint="default" w:ascii="仿宋" w:hAnsi="仿宋" w:eastAsia="仿宋" w:cstheme="minorBidi"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照明设计（照明功率密度）、电梯、扶梯相关节能控制措施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给排水设计文件、水资源利用方案及在设计中的落实说明</w:t>
            </w:r>
          </w:p>
        </w:tc>
        <w:tc>
          <w:tcPr>
            <w:tcW w:w="1599" w:type="pct"/>
          </w:tcPr>
          <w:p>
            <w:pPr>
              <w:jc w:val="both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建施、结施、建筑形体规则性判定报告</w:t>
            </w:r>
          </w:p>
        </w:tc>
        <w:tc>
          <w:tcPr>
            <w:tcW w:w="1599" w:type="pct"/>
          </w:tcPr>
          <w:p>
            <w:pPr>
              <w:jc w:val="both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结构</w:t>
            </w:r>
            <w:r>
              <w:rPr>
                <w:rFonts w:ascii="仿宋" w:hAnsi="仿宋" w:eastAsia="仿宋"/>
                <w:sz w:val="24"/>
                <w:szCs w:val="24"/>
              </w:rPr>
              <w:t>专业提供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建施、装饰性构件功能说明书及造价计算书</w:t>
            </w:r>
          </w:p>
        </w:tc>
        <w:tc>
          <w:tcPr>
            <w:tcW w:w="1599" w:type="pct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建筑</w:t>
            </w:r>
            <w:r>
              <w:rPr>
                <w:rFonts w:ascii="仿宋" w:hAnsi="仿宋" w:eastAsia="仿宋"/>
                <w:sz w:val="24"/>
                <w:szCs w:val="24"/>
              </w:rPr>
              <w:t>专业提供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结施、工程材料预算清单</w:t>
            </w:r>
          </w:p>
        </w:tc>
        <w:tc>
          <w:tcPr>
            <w:tcW w:w="1599" w:type="pct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500KM内选材，预拌混凝土及预拌砂浆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restart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8.环境宜居</w:t>
            </w:r>
          </w:p>
        </w:tc>
        <w:tc>
          <w:tcPr>
            <w:tcW w:w="2478" w:type="pct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建施、日照分析报告</w:t>
            </w:r>
          </w:p>
        </w:tc>
        <w:tc>
          <w:tcPr>
            <w:tcW w:w="1599" w:type="pct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FF"/>
                <w:sz w:val="24"/>
                <w:szCs w:val="24"/>
                <w:lang w:val="en-US" w:eastAsia="zh-CN"/>
              </w:rPr>
              <w:t>日照分析软件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  <w:t>（建筑或方案）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  <w:tcBorders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建施、总图、场地热环境计算报告</w:t>
            </w:r>
          </w:p>
        </w:tc>
        <w:tc>
          <w:tcPr>
            <w:tcW w:w="1599" w:type="pct"/>
          </w:tcPr>
          <w:p>
            <w:pPr>
              <w:jc w:val="both"/>
              <w:rPr>
                <w:rFonts w:hint="default" w:ascii="仿宋" w:hAnsi="仿宋" w:eastAsia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FF"/>
                <w:sz w:val="24"/>
                <w:szCs w:val="24"/>
                <w:lang w:val="en-US" w:eastAsia="zh-CN"/>
              </w:rPr>
              <w:t>热环境计算软件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  <w:t>（建筑专业）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  <w:tcBorders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总图、景观施工图</w:t>
            </w:r>
          </w:p>
        </w:tc>
        <w:tc>
          <w:tcPr>
            <w:tcW w:w="1599" w:type="pct"/>
          </w:tcPr>
          <w:p>
            <w:pPr>
              <w:jc w:val="both"/>
              <w:rPr>
                <w:rFonts w:hint="default" w:ascii="仿宋" w:hAnsi="仿宋" w:eastAsia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  <w:t>苗木表、屋顶绿化、覆土绿化或/和垂直绿化的区域及面积、种植区域的覆土深度、排水设计（建筑结合景观）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  <w:tcBorders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场地竖向设计图、年径流总量控制率计算书、设计控制雨量计算书、场地雨水综合利用方案或专项设计文件</w:t>
            </w:r>
          </w:p>
        </w:tc>
        <w:tc>
          <w:tcPr>
            <w:tcW w:w="1599" w:type="pct"/>
          </w:tcPr>
          <w:p>
            <w:pPr>
              <w:jc w:val="both"/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  <w:t>建筑专业、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给排水专业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  <w:tcBorders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标识系统设计文件</w:t>
            </w:r>
          </w:p>
        </w:tc>
        <w:tc>
          <w:tcPr>
            <w:tcW w:w="1599" w:type="pct"/>
          </w:tcPr>
          <w:p>
            <w:pPr>
              <w:jc w:val="both"/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  <w:t>建筑专业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（公共建筑标识系统技术规范）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  <w:tcBorders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环评报告、治理措施分析报告</w:t>
            </w:r>
          </w:p>
        </w:tc>
        <w:tc>
          <w:tcPr>
            <w:tcW w:w="1599" w:type="pct"/>
          </w:tcPr>
          <w:p>
            <w:pPr>
              <w:jc w:val="both"/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  <w:t>建筑专业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场地内不应有排放超标污染源）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  <w:tcBorders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总图、垃圾收集设施布置图</w:t>
            </w:r>
          </w:p>
        </w:tc>
        <w:tc>
          <w:tcPr>
            <w:tcW w:w="1599" w:type="pct"/>
          </w:tcPr>
          <w:p>
            <w:pPr>
              <w:jc w:val="both"/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  <w:t>建筑专业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pct"/>
            <w:vMerge w:val="continue"/>
            <w:tcBorders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9" w:type="pct"/>
          </w:tcPr>
          <w:p>
            <w:pPr>
              <w:jc w:val="both"/>
              <w:rPr>
                <w:rFonts w:hint="eastAsia" w:ascii="仿宋" w:hAnsi="仿宋" w:eastAsia="仿宋"/>
                <w:color w:val="FF0000"/>
                <w:sz w:val="24"/>
                <w:szCs w:val="24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满足控制项所需要的计算软件（建筑专业）：通风计算软件、声环境计算软件、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节能计算软件、日照分析软件、热环境计算软件。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6"/>
        <w:gridCol w:w="4224"/>
        <w:gridCol w:w="2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  <w:t>一星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级</w:t>
            </w:r>
            <w:r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  <w:t>（评分项）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pct"/>
            <w:vMerge w:val="restart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4.安全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耐久</w:t>
            </w:r>
          </w:p>
        </w:tc>
        <w:tc>
          <w:tcPr>
            <w:tcW w:w="2478" w:type="pct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提供报告</w:t>
            </w:r>
          </w:p>
        </w:tc>
        <w:tc>
          <w:tcPr>
            <w:tcW w:w="1601" w:type="pct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pct"/>
            <w:vMerge w:val="continue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pct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结构计算书，结构设计文件</w:t>
            </w:r>
          </w:p>
        </w:tc>
        <w:tc>
          <w:tcPr>
            <w:tcW w:w="1601" w:type="pct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基于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性能的抗震设计并合理提高建筑抗震性能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pct"/>
            <w:vMerge w:val="continue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pct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01" w:type="pct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U5NGYzNzRkMTk5MWU0OTkwZWM3ZThhZTE2YzJmZGMifQ=="/>
  </w:docVars>
  <w:rsids>
    <w:rsidRoot w:val="00D97A41"/>
    <w:rsid w:val="00050B0A"/>
    <w:rsid w:val="000A0308"/>
    <w:rsid w:val="000B49E7"/>
    <w:rsid w:val="00107E34"/>
    <w:rsid w:val="0011052F"/>
    <w:rsid w:val="00140D95"/>
    <w:rsid w:val="00182A91"/>
    <w:rsid w:val="001D690F"/>
    <w:rsid w:val="001F4044"/>
    <w:rsid w:val="00300CFE"/>
    <w:rsid w:val="00394360"/>
    <w:rsid w:val="003B3CD1"/>
    <w:rsid w:val="003B6DA7"/>
    <w:rsid w:val="00414A90"/>
    <w:rsid w:val="00416912"/>
    <w:rsid w:val="00427664"/>
    <w:rsid w:val="00436E1D"/>
    <w:rsid w:val="004509CF"/>
    <w:rsid w:val="004564F2"/>
    <w:rsid w:val="0048279C"/>
    <w:rsid w:val="0049071C"/>
    <w:rsid w:val="004C2D6C"/>
    <w:rsid w:val="004C5598"/>
    <w:rsid w:val="004E266A"/>
    <w:rsid w:val="0052171C"/>
    <w:rsid w:val="00540677"/>
    <w:rsid w:val="005546F4"/>
    <w:rsid w:val="005A6BA2"/>
    <w:rsid w:val="005D51B2"/>
    <w:rsid w:val="00600568"/>
    <w:rsid w:val="0061316C"/>
    <w:rsid w:val="00620DA9"/>
    <w:rsid w:val="00635C1E"/>
    <w:rsid w:val="00652139"/>
    <w:rsid w:val="00655518"/>
    <w:rsid w:val="00672D69"/>
    <w:rsid w:val="006B72D0"/>
    <w:rsid w:val="006C2AE2"/>
    <w:rsid w:val="006C4462"/>
    <w:rsid w:val="006C45E2"/>
    <w:rsid w:val="0074027B"/>
    <w:rsid w:val="00766DD9"/>
    <w:rsid w:val="00774DFB"/>
    <w:rsid w:val="00783D85"/>
    <w:rsid w:val="007B6429"/>
    <w:rsid w:val="007D4D6C"/>
    <w:rsid w:val="0082140E"/>
    <w:rsid w:val="0084541A"/>
    <w:rsid w:val="00892F88"/>
    <w:rsid w:val="00932F0A"/>
    <w:rsid w:val="00936E52"/>
    <w:rsid w:val="00985422"/>
    <w:rsid w:val="009A34D0"/>
    <w:rsid w:val="009C3F96"/>
    <w:rsid w:val="009E28F4"/>
    <w:rsid w:val="009F3B83"/>
    <w:rsid w:val="00A00BD5"/>
    <w:rsid w:val="00A4760B"/>
    <w:rsid w:val="00A6612C"/>
    <w:rsid w:val="00AD6DA2"/>
    <w:rsid w:val="00B27A6F"/>
    <w:rsid w:val="00BB743D"/>
    <w:rsid w:val="00BC29C7"/>
    <w:rsid w:val="00BC7736"/>
    <w:rsid w:val="00BE28D3"/>
    <w:rsid w:val="00C1389B"/>
    <w:rsid w:val="00C331AB"/>
    <w:rsid w:val="00C35402"/>
    <w:rsid w:val="00C52C50"/>
    <w:rsid w:val="00C75CFB"/>
    <w:rsid w:val="00C97D97"/>
    <w:rsid w:val="00CA2A40"/>
    <w:rsid w:val="00CA3739"/>
    <w:rsid w:val="00CB5832"/>
    <w:rsid w:val="00CB72A4"/>
    <w:rsid w:val="00CC0D24"/>
    <w:rsid w:val="00D145BB"/>
    <w:rsid w:val="00D52BC3"/>
    <w:rsid w:val="00D621ED"/>
    <w:rsid w:val="00D92245"/>
    <w:rsid w:val="00D97A41"/>
    <w:rsid w:val="00DC65AC"/>
    <w:rsid w:val="00DD433A"/>
    <w:rsid w:val="00E81931"/>
    <w:rsid w:val="00E974C7"/>
    <w:rsid w:val="00EB4A45"/>
    <w:rsid w:val="00EC3EC1"/>
    <w:rsid w:val="00ED0381"/>
    <w:rsid w:val="00EE0705"/>
    <w:rsid w:val="00EE22A2"/>
    <w:rsid w:val="00F256B5"/>
    <w:rsid w:val="00FA6682"/>
    <w:rsid w:val="00FC0E3A"/>
    <w:rsid w:val="014C6B51"/>
    <w:rsid w:val="016D6980"/>
    <w:rsid w:val="01F571E8"/>
    <w:rsid w:val="02206E81"/>
    <w:rsid w:val="044E2BE0"/>
    <w:rsid w:val="04FF037E"/>
    <w:rsid w:val="09D83D52"/>
    <w:rsid w:val="0CA346E9"/>
    <w:rsid w:val="0CB809E1"/>
    <w:rsid w:val="148F7029"/>
    <w:rsid w:val="1662251B"/>
    <w:rsid w:val="17062EEA"/>
    <w:rsid w:val="178F7340"/>
    <w:rsid w:val="1977452F"/>
    <w:rsid w:val="1A4274FB"/>
    <w:rsid w:val="1DAC16C4"/>
    <w:rsid w:val="1EAF2555"/>
    <w:rsid w:val="209C2837"/>
    <w:rsid w:val="24424BB7"/>
    <w:rsid w:val="253E5F41"/>
    <w:rsid w:val="263E265D"/>
    <w:rsid w:val="26C52CA5"/>
    <w:rsid w:val="28D64DCE"/>
    <w:rsid w:val="29D87414"/>
    <w:rsid w:val="2A7A685C"/>
    <w:rsid w:val="32713DBA"/>
    <w:rsid w:val="33FA3E2F"/>
    <w:rsid w:val="351A24E7"/>
    <w:rsid w:val="3E1F6D4D"/>
    <w:rsid w:val="4128039B"/>
    <w:rsid w:val="43040332"/>
    <w:rsid w:val="434F65B4"/>
    <w:rsid w:val="46276812"/>
    <w:rsid w:val="467F03FC"/>
    <w:rsid w:val="475305F1"/>
    <w:rsid w:val="48992953"/>
    <w:rsid w:val="4A2C1D40"/>
    <w:rsid w:val="4B0764AF"/>
    <w:rsid w:val="4CE30FB8"/>
    <w:rsid w:val="4F5B4E49"/>
    <w:rsid w:val="505E1AF1"/>
    <w:rsid w:val="52554706"/>
    <w:rsid w:val="55A752FC"/>
    <w:rsid w:val="57695613"/>
    <w:rsid w:val="5B264E92"/>
    <w:rsid w:val="5BDD0706"/>
    <w:rsid w:val="5D855285"/>
    <w:rsid w:val="607532B0"/>
    <w:rsid w:val="61026EA9"/>
    <w:rsid w:val="61E810F3"/>
    <w:rsid w:val="65121DC9"/>
    <w:rsid w:val="665E3732"/>
    <w:rsid w:val="66D43C9F"/>
    <w:rsid w:val="6902313D"/>
    <w:rsid w:val="6D4247F1"/>
    <w:rsid w:val="6F0137F4"/>
    <w:rsid w:val="6F997ED1"/>
    <w:rsid w:val="73EF6311"/>
    <w:rsid w:val="740F0761"/>
    <w:rsid w:val="778820FE"/>
    <w:rsid w:val="794E7636"/>
    <w:rsid w:val="7A6934B6"/>
    <w:rsid w:val="7A94376E"/>
    <w:rsid w:val="7BEA5B87"/>
    <w:rsid w:val="7C32323F"/>
    <w:rsid w:val="7FBA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1086</Words>
  <Characters>1101</Characters>
  <Lines>3</Lines>
  <Paragraphs>1</Paragraphs>
  <TotalTime>4</TotalTime>
  <ScaleCrop>false</ScaleCrop>
  <LinksUpToDate>false</LinksUpToDate>
  <CharactersWithSpaces>1101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2023-07-03T08:11:00Z</dcterms:created>
  <dc:creator>Administrator</dc:creator>
  <cp:lastModifiedBy>卫</cp:lastModifiedBy>
  <dcterms:modified xsi:type="dcterms:W3CDTF">2023-07-04T01:23:09Z</dcterms:modified>
  <cp:revision>160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6363BA2AA4FE4AAE837AA7B0873AE452_12</vt:lpwstr>
  </property>
</Properties>
</file>