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bookmarkStart w:id="0" w:name="工程名称"/>
            <w:r>
              <w:t>新乐市第四中学改扩建项目-5#宿舍楼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bookmarkStart w:id="2" w:name="建设单位"/>
            <w:r>
              <w:t>河北省新乐市第四中学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bookmarkStart w:id="3" w:name="设计单位"/>
            <w:r>
              <w:t>北京清大原点建筑设计有限公司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r>
              <w:rPr>
                <w:rFonts w:hint="eastAsia"/>
              </w:rPr>
              <w:t>何玉来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r>
              <w:rPr>
                <w:rFonts w:hint="eastAsia"/>
              </w:rPr>
              <w:t>张晓霄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r>
              <w:rPr>
                <w:rFonts w:hint="eastAsia" w:ascii="宋体" w:hAnsi="宋体"/>
                <w:szCs w:val="21"/>
              </w:rPr>
              <w:t>2023年11月1</w:t>
            </w:r>
            <w:r>
              <w:rPr>
                <w:rFonts w:hint="eastAsia" w:ascii="宋体" w:hAnsi="宋体"/>
                <w:szCs w:val="21"/>
                <w:lang w:val="en-US" w:eastAsia="zh-CN"/>
              </w:rPr>
              <w:t>6</w:t>
            </w:r>
            <w:r>
              <w:rPr>
                <w:rFonts w:hint="eastAsia" w:ascii="宋体" w:hAnsi="宋体"/>
                <w:szCs w:val="21"/>
              </w:rPr>
              <w:t>日</w:t>
            </w: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r>
              <w:rPr>
                <w:rFonts w:hint="eastAsia"/>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hAnsi="Times New Roman" w:cs="宋体"/>
                <w:lang w:val="zh-CN"/>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r>
              <w:rPr>
                <w:rFonts w:hint="eastAsia"/>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T15803317572</w:t>
            </w:r>
            <w:bookmarkEnd w:id="7"/>
          </w:p>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_Toc467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_Toc467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_Toc20715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_Toc20715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_Toc27871 </w:instrText>
      </w:r>
      <w:r>
        <w:fldChar w:fldCharType="separate"/>
      </w:r>
      <w:r>
        <w:rPr>
          <w:rFonts w:hint="eastAsia"/>
          <w:szCs w:val="24"/>
        </w:rPr>
        <w:t>2.1评价</w:t>
      </w:r>
      <w:r>
        <w:rPr>
          <w:szCs w:val="24"/>
        </w:rPr>
        <w:t>依据</w:t>
      </w:r>
      <w:r>
        <w:tab/>
      </w:r>
      <w:r>
        <w:fldChar w:fldCharType="begin"/>
      </w:r>
      <w:r>
        <w:instrText xml:space="preserve"> PAGEREF _Toc27871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_Toc22651 </w:instrText>
      </w:r>
      <w:r>
        <w:fldChar w:fldCharType="separate"/>
      </w:r>
      <w:r>
        <w:rPr>
          <w:rFonts w:hint="eastAsia"/>
          <w:szCs w:val="24"/>
        </w:rPr>
        <w:t>2.2标准</w:t>
      </w:r>
      <w:r>
        <w:rPr>
          <w:szCs w:val="24"/>
        </w:rPr>
        <w:t>要求</w:t>
      </w:r>
      <w:r>
        <w:tab/>
      </w:r>
      <w:r>
        <w:fldChar w:fldCharType="begin"/>
      </w:r>
      <w:r>
        <w:instrText xml:space="preserve"> PAGEREF _Toc22651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_Toc1454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_Toc1454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_Toc25269 </w:instrText>
      </w:r>
      <w:r>
        <w:fldChar w:fldCharType="separate"/>
      </w:r>
      <w:r>
        <w:rPr>
          <w:rFonts w:hint="eastAsia"/>
          <w:szCs w:val="24"/>
        </w:rPr>
        <w:t>3.1模拟软件</w:t>
      </w:r>
      <w:r>
        <w:tab/>
      </w:r>
      <w:r>
        <w:fldChar w:fldCharType="begin"/>
      </w:r>
      <w:r>
        <w:instrText xml:space="preserve"> PAGEREF _Toc25269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_Toc16304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_Toc16304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_Toc9917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_Toc9917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_Toc10508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_Toc10508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_Toc10088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_Toc10088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_Toc22885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_Toc22885 \h </w:instrText>
      </w:r>
      <w:r>
        <w:fldChar w:fldCharType="separate"/>
      </w:r>
      <w:r>
        <w:t>7</w:t>
      </w:r>
      <w:r>
        <w:fldChar w:fldCharType="end"/>
      </w:r>
      <w:r>
        <w:fldChar w:fldCharType="end"/>
      </w:r>
    </w:p>
    <w:p>
      <w:pPr>
        <w:pStyle w:val="13"/>
        <w:tabs>
          <w:tab w:val="right" w:leader="dot" w:pos="9070"/>
          <w:tab w:val="clear" w:pos="540"/>
          <w:tab w:val="clear" w:pos="9360"/>
        </w:tabs>
      </w:pPr>
      <w:r>
        <w:fldChar w:fldCharType="begin"/>
      </w:r>
      <w:r>
        <w:instrText xml:space="preserve"> HYPERLINK \l _Toc17774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_Toc17774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_Toc8135 </w:instrText>
      </w:r>
      <w:r>
        <w:fldChar w:fldCharType="separate"/>
      </w:r>
      <w:r>
        <w:rPr>
          <w:rFonts w:hint="eastAsia" w:ascii="Times New Roman" w:hAnsi="Times New Roman"/>
          <w:szCs w:val="28"/>
        </w:rPr>
        <w:t>5.结论</w:t>
      </w:r>
      <w:r>
        <w:tab/>
      </w:r>
      <w:r>
        <w:fldChar w:fldCharType="begin"/>
      </w:r>
      <w:r>
        <w:instrText xml:space="preserve"> PAGEREF _Toc8135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67"/>
      <w:bookmarkStart w:id="10"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5#宿舍楼</w:t>
            </w:r>
          </w:p>
        </w:tc>
        <w:tc>
          <w:tcPr>
            <w:vAlign w:val="center"/>
          </w:tcPr>
          <w:p>
            <w:pPr>
              <w:jc w:val="center"/>
            </w:pPr>
            <w:r>
              <w:t>2</w:t>
            </w:r>
            <w:r>
              <w:rPr>
                <w:rFonts w:hint="eastAsia"/>
                <w:lang w:val="en-US" w:eastAsia="zh-CN"/>
              </w:rPr>
              <w:t>0</w:t>
            </w:r>
            <w:r>
              <w:t>.</w:t>
            </w:r>
            <w:r>
              <w:rPr>
                <w:rFonts w:hint="eastAsia"/>
                <w:lang w:val="en-US" w:eastAsia="zh-CN"/>
              </w:rPr>
              <w:t>0</w:t>
            </w:r>
            <w:bookmarkStart w:id="62" w:name="_GoBack"/>
            <w:bookmarkEnd w:id="62"/>
            <w:r>
              <w:t>5</w:t>
            </w:r>
          </w:p>
        </w:tc>
        <w:tc>
          <w:tcPr>
            <w:vAlign w:val="center"/>
          </w:tcPr>
          <w:p>
            <w:pPr>
              <w:jc w:val="center"/>
            </w:pPr>
            <w:r>
              <w:t>0.00</w:t>
            </w:r>
          </w:p>
        </w:tc>
      </w:tr>
    </w:tbl>
    <w:p>
      <w:pPr>
        <w:jc w:val="center"/>
      </w:pPr>
      <w:bookmarkStart w:id="11" w:name="参评建筑信息表"/>
      <w:bookmarkEnd w:id="11"/>
    </w:p>
    <w:p>
      <w:pPr>
        <w:pStyle w:val="2"/>
        <w:rPr>
          <w:rFonts w:ascii="Times New Roman" w:hAnsi="Times New Roman"/>
          <w:sz w:val="28"/>
          <w:szCs w:val="28"/>
        </w:rPr>
      </w:pPr>
      <w:bookmarkStart w:id="12" w:name="_Toc20715"/>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27871"/>
      <w:bookmarkStart w:id="15" w:name="_Toc479326719"/>
      <w:r>
        <w:rPr>
          <w:rFonts w:hint="eastAsia"/>
          <w:sz w:val="24"/>
          <w:szCs w:val="24"/>
        </w:rPr>
        <w:t>2.1评价</w:t>
      </w:r>
      <w:r>
        <w:rPr>
          <w:sz w:val="24"/>
          <w:szCs w:val="24"/>
        </w:rPr>
        <w:t>依据</w:t>
      </w:r>
      <w:bookmarkEnd w:id="14"/>
      <w:bookmarkEnd w:id="15"/>
    </w:p>
    <w:p>
      <w:pPr>
        <w:pStyle w:val="25"/>
        <w:numPr>
          <w:ilvl w:val="0"/>
          <w:numId w:val="1"/>
        </w:numPr>
        <w:ind w:firstLineChars="0"/>
      </w:pPr>
      <w:bookmarkStart w:id="16" w:name="标准名称1"/>
      <w:bookmarkStart w:id="17" w:name="_Hlk13924517"/>
      <w:bookmarkStart w:id="18" w:name="_Toc479326720"/>
      <w:r>
        <w:rPr>
          <w:rFonts w:hint="eastAsia"/>
        </w:rPr>
        <w:t>河北省《绿色建筑评价标准》DB13(J)/T 8352-2020</w:t>
      </w:r>
      <w:bookmarkEnd w:id="16"/>
    </w:p>
    <w:p>
      <w:pPr>
        <w:pStyle w:val="25"/>
        <w:numPr>
          <w:ilvl w:val="0"/>
          <w:numId w:val="1"/>
        </w:numPr>
        <w:ind w:firstLineChars="0"/>
      </w:pPr>
      <w:r>
        <w:rPr>
          <w:rFonts w:hint="eastAsia"/>
        </w:rPr>
        <w:t>《绿色建筑评价标准》</w:t>
      </w:r>
      <w:r>
        <w:t>GB</w:t>
      </w:r>
      <w:r>
        <w:rPr>
          <w:rFonts w:hint="eastAsia"/>
        </w:rPr>
        <w:t xml:space="preserve"> </w:t>
      </w:r>
      <w:r>
        <w:t>50378-2019</w:t>
      </w:r>
      <w:bookmarkEnd w:id="17"/>
      <w:r>
        <w:t xml:space="preserve"> </w:t>
      </w:r>
    </w:p>
    <w:p>
      <w:pPr>
        <w:pStyle w:val="25"/>
        <w:numPr>
          <w:ilvl w:val="0"/>
          <w:numId w:val="1"/>
        </w:numPr>
        <w:ind w:firstLineChars="0"/>
      </w:pPr>
      <w:r>
        <w:rPr>
          <w:rFonts w:hint="eastAsia"/>
        </w:rPr>
        <w:t>《绿色建筑评价</w:t>
      </w:r>
      <w:r>
        <w:t>技术细则</w:t>
      </w:r>
      <w:r>
        <w:rPr>
          <w:rFonts w:hint="eastAsia"/>
        </w:rPr>
        <w:t>》2019</w:t>
      </w:r>
    </w:p>
    <w:p>
      <w:pPr>
        <w:pStyle w:val="25"/>
        <w:numPr>
          <w:ilvl w:val="0"/>
          <w:numId w:val="1"/>
        </w:numPr>
        <w:ind w:firstLineChars="0"/>
      </w:pPr>
      <w:r>
        <w:rPr>
          <w:rFonts w:hint="eastAsia"/>
        </w:rPr>
        <w:t>《声环境质量标准》</w:t>
      </w:r>
      <w:r>
        <w:t xml:space="preserve">GB 3096-2008 </w:t>
      </w:r>
    </w:p>
    <w:p>
      <w:pPr>
        <w:pStyle w:val="25"/>
        <w:numPr>
          <w:ilvl w:val="0"/>
          <w:numId w:val="1"/>
        </w:numPr>
        <w:ind w:firstLineChars="0"/>
      </w:pPr>
      <w:r>
        <w:rPr>
          <w:rFonts w:hint="eastAsia"/>
        </w:rPr>
        <w:t>《环境</w:t>
      </w:r>
      <w:r>
        <w:t>影响评价技术</w:t>
      </w:r>
      <w:r>
        <w:rPr>
          <w:rFonts w:hint="eastAsia"/>
        </w:rPr>
        <w:t>导则 声环境》HJ</w:t>
      </w:r>
      <w:r>
        <w:t>2.4-2009</w:t>
      </w:r>
    </w:p>
    <w:p>
      <w:pPr>
        <w:pStyle w:val="25"/>
        <w:numPr>
          <w:ilvl w:val="0"/>
          <w:numId w:val="1"/>
        </w:numPr>
        <w:ind w:firstLineChars="0"/>
      </w:pPr>
      <w:r>
        <w:rPr>
          <w:rFonts w:hint="eastAsia"/>
        </w:rPr>
        <w:t>《声环境功能区划分技术规范》</w:t>
      </w:r>
      <w:r>
        <w:t>GB/T 15190-2014</w:t>
      </w:r>
    </w:p>
    <w:p>
      <w:pPr>
        <w:pStyle w:val="25"/>
        <w:numPr>
          <w:ilvl w:val="0"/>
          <w:numId w:val="1"/>
        </w:numPr>
        <w:ind w:firstLineChars="0"/>
      </w:pPr>
      <w:r>
        <w:rPr>
          <w:rFonts w:hint="eastAsia"/>
        </w:rPr>
        <w:t>《</w:t>
      </w:r>
      <w:r>
        <w:t>民用建筑绿色性能计算标准</w:t>
      </w:r>
      <w:r>
        <w:rPr>
          <w:rFonts w:hint="eastAsia"/>
        </w:rPr>
        <w:t>》</w:t>
      </w:r>
      <w:r>
        <w:t xml:space="preserve">JGJ/T 449-2018 </w:t>
      </w:r>
    </w:p>
    <w:p>
      <w:pPr>
        <w:pStyle w:val="3"/>
        <w:rPr>
          <w:sz w:val="24"/>
          <w:szCs w:val="24"/>
        </w:rPr>
      </w:pPr>
      <w:bookmarkStart w:id="19" w:name="_Toc22651"/>
      <w:r>
        <w:rPr>
          <w:rFonts w:hint="eastAsia"/>
          <w:sz w:val="24"/>
          <w:szCs w:val="24"/>
        </w:rPr>
        <w:t>2.2标准</w:t>
      </w:r>
      <w:r>
        <w:rPr>
          <w:sz w:val="24"/>
          <w:szCs w:val="24"/>
        </w:rPr>
        <w:t>要求</w:t>
      </w:r>
      <w:bookmarkEnd w:id="18"/>
      <w:bookmarkEnd w:id="19"/>
    </w:p>
    <w:p>
      <w:pPr>
        <w:pStyle w:val="25"/>
        <w:numPr>
          <w:ilvl w:val="0"/>
          <w:numId w:val="2"/>
        </w:numPr>
        <w:ind w:firstLineChars="0"/>
      </w:pPr>
      <w:bookmarkStart w:id="20" w:name="标准名称2"/>
      <w:r>
        <w:rPr>
          <w:rFonts w:hint="eastAsia"/>
        </w:rPr>
        <w:t>河北省《绿色建筑评价标准》DB13(J)/T 8352-2020</w:t>
      </w:r>
      <w:bookmarkEnd w:id="20"/>
      <w:r>
        <w:rPr>
          <w:rFonts w:hint="eastAsia"/>
        </w:rPr>
        <w:t>中规定：</w:t>
      </w:r>
    </w:p>
    <w:p>
      <w:pPr>
        <w:pStyle w:val="25"/>
        <w:ind w:left="420" w:firstLine="0" w:firstLineChars="0"/>
      </w:pPr>
      <w:bookmarkStart w:id="21" w:name="室外条文内容"/>
      <w:r>
        <w:t>8.2.6 场地内的环境噪声优于现行国家标准《声环境质量标准》GB 3096 的要求，评价总分值为 10分，并按下列规则评分：</w:t>
      </w:r>
    </w:p>
    <w:p>
      <w:pPr>
        <w:pStyle w:val="25"/>
        <w:ind w:left="420" w:firstLine="0" w:firstLineChars="0"/>
      </w:pPr>
      <w:r>
        <w:t xml:space="preserve">    1 环境噪声值大于 2 类声环境功能区标准限值，且小于等于 3 类声环境功能区标准限值，得 5 分；</w:t>
      </w:r>
    </w:p>
    <w:p>
      <w:pPr>
        <w:pStyle w:val="25"/>
        <w:ind w:left="420" w:firstLine="0" w:firstLineChars="0"/>
      </w:pPr>
      <w:r>
        <w:t xml:space="preserve">    2 环境噪声值小于等于 2 类声环境功能区标准限值，得 10 分。</w:t>
      </w:r>
    </w:p>
    <w:bookmarkEnd w:id="21"/>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22" w:name="声功能区类别表格"/>
      <w:bookmarkEnd w:id="22"/>
      <w:bookmarkStart w:id="23" w:name="_Toc1454"/>
      <w:bookmarkStart w:id="24" w:name="_Toc479326721"/>
      <w:r>
        <w:rPr>
          <w:rFonts w:hint="eastAsia" w:ascii="Times New Roman" w:hAnsi="Times New Roman"/>
          <w:sz w:val="28"/>
          <w:szCs w:val="28"/>
        </w:rPr>
        <w:t>3.模拟</w:t>
      </w:r>
      <w:r>
        <w:rPr>
          <w:rFonts w:ascii="Times New Roman" w:hAnsi="Times New Roman"/>
          <w:sz w:val="28"/>
          <w:szCs w:val="28"/>
        </w:rPr>
        <w:t>方法</w:t>
      </w:r>
      <w:bookmarkEnd w:id="23"/>
      <w:bookmarkEnd w:id="24"/>
    </w:p>
    <w:p>
      <w:pPr>
        <w:pStyle w:val="3"/>
        <w:rPr>
          <w:sz w:val="24"/>
          <w:szCs w:val="24"/>
        </w:rPr>
      </w:pPr>
      <w:bookmarkStart w:id="25" w:name="_Toc479326722"/>
      <w:bookmarkStart w:id="26" w:name="_Toc25269"/>
      <w:r>
        <w:rPr>
          <w:rFonts w:hint="eastAsia"/>
          <w:sz w:val="24"/>
          <w:szCs w:val="24"/>
        </w:rPr>
        <w:t>3.1模拟软件</w:t>
      </w:r>
      <w:bookmarkEnd w:id="25"/>
      <w:bookmarkEnd w:id="26"/>
    </w:p>
    <w:p>
      <w:pPr>
        <w:pStyle w:val="33"/>
        <w:spacing w:line="276" w:lineRule="auto"/>
        <w:ind w:firstLine="420"/>
        <w:rPr>
          <w:rFonts w:ascii="微软雅黑" w:hAnsi="微软雅黑" w:cs="Times New Roman"/>
          <w:sz w:val="21"/>
          <w:szCs w:val="21"/>
        </w:rPr>
      </w:pPr>
      <w:bookmarkStart w:id="27"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GB/T15190-2019</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8" w:name="_Toc16304"/>
      <w:r>
        <w:rPr>
          <w:rFonts w:hint="eastAsia"/>
          <w:sz w:val="24"/>
          <w:szCs w:val="24"/>
        </w:rPr>
        <w:t>3.2分析</w:t>
      </w:r>
      <w:r>
        <w:rPr>
          <w:sz w:val="24"/>
          <w:szCs w:val="24"/>
        </w:rPr>
        <w:t>模</w:t>
      </w:r>
      <w:r>
        <w:rPr>
          <w:rFonts w:hint="eastAsia"/>
          <w:sz w:val="24"/>
          <w:szCs w:val="24"/>
        </w:rPr>
        <w:t>型</w:t>
      </w:r>
      <w:bookmarkEnd w:id="27"/>
      <w:bookmarkEnd w:id="28"/>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9" w:name="建设项目室外声环境分析模型平面图"/>
      <w:bookmarkEnd w:id="29"/>
      <w:r>
        <w:drawing>
          <wp:inline distT="0" distB="0" distL="0" distR="0">
            <wp:extent cx="5057775" cy="672528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058306" cy="6725356"/>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30" w:name="_Toc9917"/>
      <w:bookmarkStart w:id="31" w:name="_Toc479326725"/>
      <w:r>
        <w:rPr>
          <w:rFonts w:hint="eastAsia"/>
          <w:sz w:val="24"/>
          <w:szCs w:val="24"/>
        </w:rPr>
        <w:t>3.</w:t>
      </w:r>
      <w:r>
        <w:rPr>
          <w:sz w:val="24"/>
          <w:szCs w:val="24"/>
        </w:rPr>
        <w:t>3</w:t>
      </w:r>
      <w:r>
        <w:rPr>
          <w:rFonts w:hint="eastAsia"/>
          <w:sz w:val="24"/>
          <w:szCs w:val="24"/>
        </w:rPr>
        <w:t>计算条件</w:t>
      </w:r>
      <w:bookmarkEnd w:id="30"/>
      <w:bookmarkEnd w:id="31"/>
    </w:p>
    <w:p>
      <w:pPr>
        <w:rPr>
          <w:b/>
        </w:rPr>
      </w:pPr>
      <w:bookmarkStart w:id="32"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32"/>
    <w:p>
      <w:pPr>
        <w:pStyle w:val="3"/>
        <w:rPr>
          <w:sz w:val="24"/>
          <w:szCs w:val="24"/>
        </w:rPr>
      </w:pPr>
      <w:bookmarkStart w:id="33" w:name="_Toc10508"/>
      <w:bookmarkStart w:id="34" w:name="_Toc479326726"/>
      <w:r>
        <w:rPr>
          <w:rFonts w:hint="eastAsia"/>
          <w:sz w:val="24"/>
          <w:szCs w:val="24"/>
        </w:rPr>
        <w:t>3.</w:t>
      </w:r>
      <w:r>
        <w:rPr>
          <w:sz w:val="24"/>
          <w:szCs w:val="24"/>
        </w:rPr>
        <w:t>4</w:t>
      </w:r>
      <w:r>
        <w:rPr>
          <w:rFonts w:hint="eastAsia"/>
          <w:sz w:val="24"/>
          <w:szCs w:val="24"/>
        </w:rPr>
        <w:t>参数</w:t>
      </w:r>
      <w:r>
        <w:rPr>
          <w:sz w:val="24"/>
          <w:szCs w:val="24"/>
        </w:rPr>
        <w:t>设置</w:t>
      </w:r>
      <w:bookmarkEnd w:id="33"/>
      <w:bookmarkEnd w:id="34"/>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pPr>
      <w:bookmarkStart w:id="35" w:name="声源表"/>
      <w:bookmarkEnd w:id="35"/>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水泥路</w:t>
            </w:r>
          </w:p>
        </w:tc>
        <w:tc>
          <w:tcPr>
            <w:vMerge w:val="restart"/>
            <w:vAlign w:val="center"/>
          </w:tcPr>
          <w:p>
            <w:pPr>
              <w:jc w:val="center"/>
            </w:pPr>
            <w:r>
              <w:t>水泥</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60</w:t>
            </w:r>
          </w:p>
        </w:tc>
        <w:tc>
          <w:tcPr>
            <w:vAlign w:val="center"/>
          </w:tcPr>
          <w:p>
            <w:pPr>
              <w:jc w:val="center"/>
            </w:pPr>
            <w:r>
              <w:t>281</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63</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水泥路</w:t>
            </w:r>
          </w:p>
        </w:tc>
        <w:tc>
          <w:tcPr>
            <w:vMerge w:val="restart"/>
            <w:vAlign w:val="center"/>
          </w:tcPr>
          <w:p>
            <w:pPr>
              <w:jc w:val="center"/>
            </w:pPr>
            <w:r>
              <w:t>水泥</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60</w:t>
            </w:r>
          </w:p>
        </w:tc>
        <w:tc>
          <w:tcPr>
            <w:vAlign w:val="center"/>
          </w:tcPr>
          <w:p>
            <w:pPr>
              <w:jc w:val="center"/>
            </w:pPr>
            <w:r>
              <w:t>281</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63</w:t>
            </w:r>
          </w:p>
        </w:tc>
        <w:tc>
          <w:tcPr>
            <w:vAlign w:val="center"/>
          </w:tcPr>
          <w:p>
            <w:pPr>
              <w:jc w:val="center"/>
            </w:pPr>
            <w:r>
              <w:t>0</w:t>
            </w:r>
          </w:p>
        </w:tc>
        <w:tc>
          <w:tcPr>
            <w:vAlign w:val="center"/>
          </w:tcPr>
          <w:p>
            <w:pPr>
              <w:jc w:val="center"/>
            </w:pPr>
            <w:r>
              <w:t>0</w:t>
            </w:r>
          </w:p>
        </w:tc>
      </w:tr>
    </w:tbl>
    <w:p>
      <w:pPr>
        <w:jc w:val="center"/>
      </w:pPr>
    </w:p>
    <w:p/>
    <w:p>
      <w:pPr>
        <w:pStyle w:val="2"/>
        <w:spacing w:line="400" w:lineRule="exact"/>
        <w:rPr>
          <w:rFonts w:ascii="Times New Roman" w:hAnsi="Times New Roman"/>
          <w:sz w:val="28"/>
          <w:szCs w:val="28"/>
        </w:rPr>
      </w:pPr>
      <w:bookmarkStart w:id="36" w:name="_Toc479326727"/>
      <w:bookmarkStart w:id="37" w:name="_Toc10088"/>
      <w:r>
        <w:rPr>
          <w:rFonts w:hint="eastAsia" w:ascii="Times New Roman" w:hAnsi="Times New Roman"/>
          <w:sz w:val="28"/>
          <w:szCs w:val="28"/>
        </w:rPr>
        <w:t>4.模拟结果</w:t>
      </w:r>
      <w:r>
        <w:rPr>
          <w:rFonts w:ascii="Times New Roman" w:hAnsi="Times New Roman"/>
          <w:sz w:val="28"/>
          <w:szCs w:val="28"/>
        </w:rPr>
        <w:t>及分析</w:t>
      </w:r>
      <w:bookmarkEnd w:id="36"/>
      <w:bookmarkEnd w:id="37"/>
      <w:r>
        <w:rPr>
          <w:rFonts w:hint="eastAsia" w:ascii="Times New Roman" w:hAnsi="Times New Roman"/>
          <w:sz w:val="28"/>
          <w:szCs w:val="28"/>
        </w:rPr>
        <w:t xml:space="preserve"> </w:t>
      </w:r>
    </w:p>
    <w:p>
      <w:pPr>
        <w:ind w:firstLine="420" w:firstLineChars="200"/>
      </w:pPr>
      <w:bookmarkStart w:id="38"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9" w:name="_Toc2288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8"/>
      <w:bookmarkEnd w:id="39"/>
    </w:p>
    <w:p>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rPr>
          <w:rFonts w:hint="eastAsia"/>
        </w:rPr>
      </w:pPr>
    </w:p>
    <w:p>
      <w:pPr>
        <w:jc w:val="center"/>
        <w:rPr>
          <w:rFonts w:ascii="Times New Roman" w:hAnsi="Times New Roman"/>
        </w:rPr>
      </w:pPr>
      <w:bookmarkStart w:id="40" w:name="场地分布图昼"/>
      <w:bookmarkEnd w:id="40"/>
      <w:r>
        <w:drawing>
          <wp:inline distT="0" distB="0" distL="0" distR="0">
            <wp:extent cx="5667375" cy="5191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-1</w:t>
      </w:r>
      <w:r>
        <w:rPr>
          <w:rFonts w:hint="eastAsia"/>
          <w:kern w:val="0"/>
          <w:sz w:val="18"/>
          <w:szCs w:val="18"/>
        </w:rPr>
        <w:t xml:space="preserve"> 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昼间</w:t>
      </w:r>
      <w:r>
        <w:rPr>
          <w:kern w:val="0"/>
          <w:sz w:val="18"/>
          <w:szCs w:val="18"/>
        </w:rPr>
        <w:t>）</w:t>
      </w:r>
    </w:p>
    <w:p>
      <w:pPr>
        <w:jc w:val="center"/>
        <w:rPr>
          <w:rFonts w:ascii="Times New Roman" w:hAnsi="Times New Roman"/>
        </w:rPr>
      </w:pPr>
      <w:bookmarkStart w:id="41" w:name="场地分布图夜"/>
      <w:bookmarkEnd w:id="41"/>
      <w:r>
        <w:drawing>
          <wp:inline distT="0" distB="0" distL="0" distR="0">
            <wp:extent cx="5667375" cy="5191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-2 </w:t>
      </w:r>
      <w:r>
        <w:rPr>
          <w:rFonts w:hint="eastAsia"/>
          <w:kern w:val="0"/>
          <w:sz w:val="18"/>
          <w:szCs w:val="18"/>
        </w:rPr>
        <w:t>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夜间</w:t>
      </w:r>
      <w:r>
        <w:rPr>
          <w:kern w:val="0"/>
          <w:sz w:val="18"/>
          <w:szCs w:val="18"/>
        </w:rPr>
        <w:t>）</w:t>
      </w:r>
    </w:p>
    <w:p>
      <w:pPr>
        <w:jc w:val="center"/>
        <w:rPr>
          <w:rFonts w:ascii="Times New Roman" w:hAnsi="Times New Roman"/>
        </w:rPr>
      </w:pPr>
      <w:bookmarkStart w:id="42" w:name="场地噪声分布俯瞰昼"/>
      <w:bookmarkEnd w:id="42"/>
      <w:r>
        <w:drawing>
          <wp:inline distT="0" distB="0" distL="0" distR="0">
            <wp:extent cx="5667375" cy="5191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-3</w:t>
      </w:r>
      <w:r>
        <w:rPr>
          <w:rFonts w:hint="eastAsia"/>
          <w:kern w:val="0"/>
          <w:sz w:val="18"/>
          <w:szCs w:val="18"/>
        </w:rPr>
        <w:t xml:space="preserve">  场地噪声分布俯瞰图（昼间）</w:t>
      </w:r>
    </w:p>
    <w:p>
      <w:pPr>
        <w:widowControl/>
        <w:jc w:val="center"/>
        <w:rPr>
          <w:rFonts w:ascii="宋体" w:hAnsi="宋体"/>
          <w:szCs w:val="21"/>
        </w:rPr>
      </w:pPr>
      <w:bookmarkStart w:id="43" w:name="场地噪声分布俯瞰夜"/>
      <w:bookmarkEnd w:id="43"/>
      <w:r>
        <w:drawing>
          <wp:inline distT="0" distB="0" distL="0" distR="0">
            <wp:extent cx="5667375" cy="51911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-4  </w:t>
      </w:r>
      <w:r>
        <w:rPr>
          <w:rFonts w:hint="eastAsia"/>
          <w:kern w:val="0"/>
          <w:sz w:val="18"/>
          <w:szCs w:val="18"/>
        </w:rPr>
        <w:t>场地噪声分布俯瞰图（夜间）</w:t>
      </w:r>
    </w:p>
    <w:p>
      <w:pPr>
        <w:jc w:val="center"/>
        <w:rPr>
          <w:rFonts w:ascii="Times New Roman" w:hAnsi="Times New Roman"/>
          <w:b/>
          <w:color w:val="FF0000"/>
        </w:rPr>
      </w:pPr>
    </w:p>
    <w:p>
      <w:pPr>
        <w:pStyle w:val="3"/>
        <w:rPr>
          <w:sz w:val="24"/>
          <w:szCs w:val="24"/>
        </w:rPr>
      </w:pPr>
      <w:bookmarkStart w:id="44" w:name="_Toc479326729"/>
      <w:bookmarkStart w:id="45" w:name="_Toc1777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4"/>
      <w:r>
        <w:rPr>
          <w:rFonts w:hint="eastAsia"/>
          <w:sz w:val="24"/>
          <w:szCs w:val="24"/>
        </w:rPr>
        <w:t>情况</w:t>
      </w:r>
      <w:bookmarkEnd w:id="45"/>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6" w:name="建筑附近声压分布图昼"/>
      <w:bookmarkEnd w:id="46"/>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3800475"/>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2-1</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高度处声压级平面分布图（昼间）</w:t>
      </w:r>
    </w:p>
    <w:p>
      <w:pPr>
        <w:jc w:val="center"/>
        <w:rPr>
          <w:rFonts w:ascii="Times New Roman" w:hAnsi="Times New Roman"/>
        </w:rPr>
      </w:pPr>
      <w:bookmarkStart w:id="47" w:name="建筑附近声压分布图夜"/>
      <w:bookmarkEnd w:id="47"/>
      <w:r>
        <w:drawing>
          <wp:inline distT="0" distB="0" distL="0" distR="0">
            <wp:extent cx="5667375" cy="3800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4"/>
                    <a:stretch>
                      <a:fillRect/>
                    </a:stretch>
                  </pic:blipFill>
                  <pic:spPr>
                    <a:xfrm>
                      <a:off x="0" y="0"/>
                      <a:ext cx="5667375" cy="3800475"/>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2-2</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8" w:name="建筑附近声压分布鸟瞰图昼"/>
      <w:r>
        <w:drawing>
          <wp:inline distT="0" distB="0" distL="0" distR="0">
            <wp:extent cx="5667375" cy="51625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6"/>
                    <a:stretch>
                      <a:fillRect/>
                    </a:stretch>
                  </pic:blipFill>
                  <pic:spPr>
                    <a:xfrm>
                      <a:off x="0" y="0"/>
                      <a:ext cx="5667375" cy="5162550"/>
                    </a:xfrm>
                    <a:prstGeom prst="rect">
                      <a:avLst/>
                    </a:prstGeom>
                  </pic:spPr>
                </pic:pic>
              </a:graphicData>
            </a:graphic>
          </wp:inline>
        </w:drawing>
      </w:r>
    </w:p>
    <w:bookmarkEnd w:id="48"/>
    <w:p>
      <w:pPr>
        <w:widowControl/>
        <w:jc w:val="center"/>
        <w:rPr>
          <w:rFonts w:ascii="宋体" w:hAnsi="宋体"/>
          <w:szCs w:val="21"/>
        </w:rPr>
      </w:pPr>
    </w:p>
    <w:p>
      <w:pPr>
        <w:widowControl/>
        <w:tabs>
          <w:tab w:val="center" w:pos="4153"/>
          <w:tab w:val="right" w:pos="8306"/>
        </w:tabs>
        <w:rPr>
          <w:kern w:val="0"/>
          <w:sz w:val="18"/>
          <w:szCs w:val="18"/>
        </w:rPr>
      </w:pPr>
      <w:r>
        <w:rPr>
          <w:kern w:val="0"/>
          <w:sz w:val="18"/>
          <w:szCs w:val="18"/>
        </w:rPr>
        <w:tab/>
      </w:r>
      <w:r>
        <w:rPr>
          <w:rFonts w:hint="eastAsia"/>
          <w:kern w:val="0"/>
          <w:sz w:val="18"/>
          <w:szCs w:val="18"/>
        </w:rPr>
        <w:t>图4.</w:t>
      </w:r>
      <w:r>
        <w:rPr>
          <w:kern w:val="0"/>
          <w:sz w:val="18"/>
          <w:szCs w:val="18"/>
        </w:rPr>
        <w:t>2-3</w:t>
      </w:r>
      <w:r>
        <w:rPr>
          <w:rFonts w:hint="eastAsia"/>
          <w:kern w:val="0"/>
          <w:sz w:val="18"/>
          <w:szCs w:val="18"/>
        </w:rPr>
        <w:t xml:space="preserve"> 参评建筑附近区域声压级鸟瞰分布图（昼间）</w:t>
      </w:r>
      <w:r>
        <w:rPr>
          <w:kern w:val="0"/>
          <w:sz w:val="18"/>
          <w:szCs w:val="18"/>
        </w:rPr>
        <w:tab/>
      </w:r>
    </w:p>
    <w:p>
      <w:pPr>
        <w:widowControl/>
        <w:jc w:val="center"/>
        <w:rPr>
          <w:rFonts w:ascii="宋体" w:hAnsi="宋体"/>
          <w:szCs w:val="21"/>
        </w:rPr>
      </w:pPr>
    </w:p>
    <w:p>
      <w:pPr>
        <w:widowControl/>
        <w:jc w:val="center"/>
        <w:rPr>
          <w:rFonts w:ascii="宋体" w:hAnsi="宋体"/>
          <w:szCs w:val="21"/>
        </w:rPr>
      </w:pPr>
      <w:bookmarkStart w:id="49" w:name="建筑附近声压分布鸟瞰图夜"/>
      <w:bookmarkEnd w:id="49"/>
      <w:r>
        <w:drawing>
          <wp:inline distT="0" distB="0" distL="0" distR="0">
            <wp:extent cx="5667375" cy="51625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7"/>
                    <a:stretch>
                      <a:fillRect/>
                    </a:stretch>
                  </pic:blipFill>
                  <pic:spPr>
                    <a:xfrm>
                      <a:off x="0" y="0"/>
                      <a:ext cx="5667375" cy="516255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2-4</w:t>
      </w:r>
      <w:r>
        <w:rPr>
          <w:rFonts w:hint="eastAsia"/>
          <w:kern w:val="0"/>
          <w:sz w:val="18"/>
          <w:szCs w:val="18"/>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表4</w:t>
      </w:r>
      <w:r>
        <w:rPr>
          <w:kern w:val="0"/>
          <w:sz w:val="18"/>
          <w:szCs w:val="18"/>
        </w:rPr>
        <w:t xml:space="preserve">.2 </w:t>
      </w:r>
      <w:r>
        <w:rPr>
          <w:rFonts w:hint="eastAsia"/>
          <w:kern w:val="0"/>
          <w:sz w:val="18"/>
          <w:szCs w:val="18"/>
        </w:rPr>
        <w:t xml:space="preserve">参评建筑达标统计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立面网格点</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5#宿舍楼</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43</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50" w:name="建筑物噪声最大值统计表格"/>
      <w:bookmarkEnd w:id="50"/>
    </w:p>
    <w:p>
      <w:pPr>
        <w:pStyle w:val="2"/>
        <w:rPr>
          <w:rFonts w:ascii="Times New Roman" w:hAnsi="Times New Roman"/>
          <w:sz w:val="28"/>
          <w:szCs w:val="28"/>
        </w:rPr>
      </w:pPr>
      <w:bookmarkStart w:id="51" w:name="_Toc479326730"/>
      <w:bookmarkStart w:id="52" w:name="_Toc8135"/>
      <w:r>
        <w:rPr>
          <w:rFonts w:hint="eastAsia" w:ascii="Times New Roman" w:hAnsi="Times New Roman"/>
          <w:sz w:val="28"/>
          <w:szCs w:val="28"/>
        </w:rPr>
        <w:t>5.结论</w:t>
      </w:r>
      <w:bookmarkEnd w:id="51"/>
      <w:bookmarkEnd w:id="52"/>
    </w:p>
    <w:p>
      <w:pPr>
        <w:ind w:firstLine="420" w:firstLineChars="200"/>
        <w:rPr>
          <w:rFonts w:ascii="Times New Roman" w:hAnsi="Times New Roman"/>
          <w:szCs w:val="21"/>
        </w:rPr>
      </w:pPr>
      <w:bookmarkStart w:id="53" w:name="标准名称4"/>
      <w:r>
        <w:rPr>
          <w:rFonts w:hint="eastAsia"/>
        </w:rPr>
        <w:t>河北省《绿色建筑评价标准》DB13(J)/T 8352-2020</w:t>
      </w:r>
      <w:bookmarkEnd w:id="53"/>
      <w:r>
        <w:rPr>
          <w:rFonts w:hint="eastAsia" w:ascii="Times New Roman" w:hAnsi="Times New Roman"/>
          <w:szCs w:val="21"/>
        </w:rPr>
        <w:t>要求:</w:t>
      </w:r>
    </w:p>
    <w:p>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的要求，评价总分值为 10分，并按下列规则评分：</w:t>
      </w:r>
    </w:p>
    <w:p>
      <w:r>
        <w:t xml:space="preserve">    1 环境噪声值大于 2 类声环境功能区标准限值，且小于等于 3 类声环境功能区标准限值，得 5 分；</w:t>
      </w:r>
    </w:p>
    <w:p>
      <w:r>
        <w:t xml:space="preserve">    2 环境噪声值小于等于 2 类声环境功能区标准限值，得 10 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
              </w:rPr>
            </w:pPr>
            <w:bookmarkStart w:id="55" w:name="昼间噪声最大值"/>
            <w:r>
              <w:rPr>
                <w:b/>
              </w:rPr>
              <w:t>49</w:t>
            </w:r>
            <w:bookmarkEnd w:id="55"/>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6" w:name="得分情况"/>
            <w:r>
              <w:rPr>
                <w:b/>
                <w:bCs/>
              </w:rPr>
              <w:t>10</w:t>
            </w:r>
            <w:bookmarkEnd w:id="56"/>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7" w:name="夜间噪声最大值"/>
            <w:r>
              <w:rPr>
                <w:b/>
              </w:rPr>
              <w:t>43</w:t>
            </w:r>
            <w:bookmarkEnd w:id="57"/>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ind w:firstLine="210" w:firstLineChars="100"/>
      </w:pPr>
      <w:r>
        <w:rPr>
          <w:rFonts w:hint="eastAsia" w:ascii="宋体" w:hAnsi="Calibri"/>
        </w:rPr>
        <w:t>综上所述，经过软件模拟和结果统计分析，最终判定本项目</w:t>
      </w:r>
      <w:bookmarkStart w:id="58" w:name="满足结论"/>
      <w:r>
        <w:rPr>
          <w:rFonts w:hint="eastAsia"/>
          <w:b/>
        </w:rPr>
        <w:t>满足</w:t>
      </w:r>
      <w:bookmarkEnd w:id="58"/>
      <w:r>
        <w:rPr>
          <w:rFonts w:hint="eastAsia"/>
          <w:b/>
        </w:rPr>
        <w:t xml:space="preserve"> </w:t>
      </w:r>
      <w:bookmarkStart w:id="59" w:name="标准名称3"/>
      <w:r>
        <w:rPr>
          <w:rFonts w:hint="eastAsia"/>
        </w:rPr>
        <w:t>河北省《绿色建筑评价标准》DB13(J)/T 8352-2020</w:t>
      </w:r>
      <w:bookmarkEnd w:id="59"/>
      <w:r>
        <w:rPr>
          <w:rFonts w:hint="eastAsia"/>
        </w:rPr>
        <w:t>地方标准</w:t>
      </w:r>
      <w:bookmarkStart w:id="60" w:name="室外条文编号"/>
      <w:r>
        <w:rPr>
          <w:rFonts w:hint="eastAsia"/>
        </w:rPr>
        <w:t>相关条文</w:t>
      </w:r>
      <w:bookmarkEnd w:id="60"/>
      <w:r>
        <w:rPr>
          <w:rFonts w:hint="eastAsia"/>
        </w:rPr>
        <w:t>要求，</w:t>
      </w:r>
      <w:bookmarkStart w:id="61" w:name="得分结论"/>
      <w:r>
        <w:rPr>
          <w:b/>
        </w:rPr>
        <w:t>得 10 分</w:t>
      </w:r>
      <w:bookmarkEnd w:id="61"/>
      <w:r>
        <w:rPr>
          <w:rFonts w:hint="eastAsia"/>
          <w:b/>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4</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useFELayout/>
    <w:compatSetting w:name="compatibilityMode" w:uri="http://schemas.microsoft.com/office/word" w:val="12"/>
  </w:compat>
  <w:docVars>
    <w:docVar w:name="commondata" w:val="eyJoZGlkIjoiZWM4ZTExOWNlMTYwMjdiZWM5ZTUxOWY5MDVmZWQzNzkifQ=="/>
  </w:docVars>
  <w:rsids>
    <w:rsidRoot w:val="00217F62"/>
    <w:rsid w:val="001915A3"/>
    <w:rsid w:val="00217F62"/>
    <w:rsid w:val="00A906D8"/>
    <w:rsid w:val="00AB5A74"/>
    <w:rsid w:val="00F071AE"/>
    <w:rsid w:val="11AF3DD5"/>
    <w:rsid w:val="3C1833DA"/>
    <w:rsid w:val="53B115CB"/>
    <w:rsid w:val="71EB5CF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53C2-A9F1-4C04-855F-0C3360460606}">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565</Words>
  <Characters>3227</Characters>
  <Lines>26</Lines>
  <Paragraphs>7</Paragraphs>
  <TotalTime>0</TotalTime>
  <ScaleCrop>false</ScaleCrop>
  <LinksUpToDate>false</LinksUpToDate>
  <CharactersWithSpaces>3785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二玲</cp:lastModifiedBy>
  <cp:lastPrinted>2016-08-03T02:42:00Z</cp:lastPrinted>
  <dcterms:modified xsi:type="dcterms:W3CDTF">2023-11-20T09:25:24Z</dcterms:modified>
  <dc:title>总平室外噪声室外噪声分析报告</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529DDE53C8D1462783EEB19966DAE984_12</vt:lpwstr>
  </property>
</Properties>
</file>