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新乐市第四中学改扩建项目-5#宿舍楼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石家庄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r>
              <w:rPr>
                <w:rFonts w:hint="eastAsia" w:ascii="宋体" w:hAnsi="宋体"/>
                <w:szCs w:val="21"/>
              </w:rPr>
              <w:t>河北省新乐市第四中学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rPr>
                <w:rFonts w:hint="eastAsia" w:ascii="宋体" w:hAnsi="宋体"/>
                <w:szCs w:val="21"/>
              </w:rPr>
              <w:t>北京清大原点建筑设计有限公司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bookmarkStart w:id="196" w:name="_GoBack" w:colFirst="1" w:colLast="1"/>
            <w:r>
              <w:rPr>
                <w:rFonts w:hint="eastAsia" w:ascii="宋体" w:hAnsi="宋体"/>
                <w:szCs w:val="21"/>
              </w:rPr>
              <w:t>设 计 人</w:t>
            </w:r>
          </w:p>
        </w:tc>
        <w:tc>
          <w:tcPr>
            <w:tcW w:w="3780" w:type="dxa"/>
            <w:vAlign w:val="top"/>
          </w:tcPr>
          <w:p>
            <w:pPr>
              <w:rPr>
                <w:rFonts w:ascii="宋体" w:hAnsi="宋体"/>
                <w:szCs w:val="21"/>
              </w:rPr>
            </w:pPr>
            <w:r>
              <w:rPr>
                <w:rFonts w:hint="eastAsia"/>
                <w:szCs w:val="21"/>
              </w:rPr>
              <w:t>张晓霄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vAlign w:val="top"/>
          </w:tcPr>
          <w:p>
            <w:pPr>
              <w:rPr>
                <w:rFonts w:ascii="宋体" w:hAnsi="宋体"/>
                <w:szCs w:val="21"/>
              </w:rPr>
            </w:pPr>
            <w:r>
              <w:rPr>
                <w:rFonts w:hint="eastAsia"/>
                <w:szCs w:val="21"/>
              </w:rPr>
              <w:t>白建虎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vAlign w:val="top"/>
          </w:tcPr>
          <w:p>
            <w:pPr>
              <w:rPr>
                <w:rFonts w:ascii="宋体" w:hAnsi="宋体"/>
                <w:szCs w:val="21"/>
              </w:rPr>
            </w:pPr>
            <w:r>
              <w:rPr>
                <w:rFonts w:hint="eastAsia"/>
                <w:szCs w:val="21"/>
              </w:rPr>
              <w:t>何玉来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vAlign w:val="top"/>
          </w:tcPr>
          <w:p>
            <w:pPr>
              <w:rPr>
                <w:rFonts w:ascii="宋体" w:hAnsi="宋体"/>
                <w:szCs w:val="21"/>
              </w:rPr>
            </w:pPr>
            <w:r>
              <w:rPr>
                <w:rFonts w:hint="eastAsia"/>
                <w:szCs w:val="21"/>
              </w:rPr>
              <w:t>张晓霄</w:t>
            </w:r>
          </w:p>
        </w:tc>
      </w:tr>
      <w:bookmarkEnd w:id="196"/>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2023年11月15日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743075" cy="17430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pPr>
              <w:spacing w:line="240" w:lineRule="atLeast"/>
              <w:rPr>
                <w:sz w:val="18"/>
                <w:szCs w:val="18"/>
              </w:rPr>
            </w:pPr>
            <w:bookmarkStart w:id="8" w:name="采用软件"/>
            <w:r>
              <w:rPr>
                <w:rFonts w:hint="eastAsia"/>
              </w:rPr>
              <w:t>建筑通风Vent2023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pPr>
              <w:spacing w:line="240" w:lineRule="atLeast"/>
              <w:rPr>
                <w:sz w:val="18"/>
                <w:szCs w:val="18"/>
              </w:rPr>
            </w:pPr>
            <w:bookmarkStart w:id="9" w:name="软件版本"/>
            <w:r>
              <w:rPr>
                <w:rFonts w:hint="eastAsia"/>
                <w:sz w:val="18"/>
                <w:szCs w:val="18"/>
              </w:rPr>
              <w:t>20220401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240" w:lineRule="atLeast"/>
              <w:rPr>
                <w:sz w:val="18"/>
                <w:szCs w:val="18"/>
              </w:rPr>
            </w:pPr>
            <w:r>
              <w:rPr>
                <w:rFonts w:hint="eastAsia"/>
                <w:sz w:val="18"/>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pPr>
              <w:rPr>
                <w:rFonts w:cstheme="minorBidi"/>
                <w:kern w:val="2"/>
                <w:szCs w:val="18"/>
                <w:lang w:val="en-US"/>
              </w:rPr>
            </w:pPr>
            <w:bookmarkStart w:id="10" w:name="加密锁号"/>
            <w:r>
              <w:rPr>
                <w:rFonts w:hint="eastAsia"/>
              </w:rPr>
              <w:t>T15803317572</w:t>
            </w:r>
          </w:p>
        </w:tc>
      </w:tr>
    </w:tbl>
    <w:p>
      <w:pPr>
        <w:spacing w:line="240" w:lineRule="auto"/>
        <w:jc w:val="center"/>
        <w:rPr>
          <w:rFonts w:ascii="宋体" w:hAnsi="宋体"/>
          <w:b/>
          <w:bCs/>
          <w:sz w:val="30"/>
          <w:szCs w:val="32"/>
        </w:rPr>
      </w:pPr>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11" w:name="目录"/>
      <w:r>
        <w:rPr>
          <w:rFonts w:ascii="宋体" w:hAnsi="宋体"/>
          <w:bCs w:val="0"/>
          <w:caps/>
        </w:rPr>
        <w:fldChar w:fldCharType="begin"/>
      </w:r>
      <w:r>
        <w:rPr>
          <w:rFonts w:ascii="宋体" w:hAnsi="宋体"/>
          <w:bCs w:val="0"/>
          <w:caps/>
        </w:rPr>
        <w:instrText xml:space="preserve"> HYPERLINK \l _Toc28890 </w:instrText>
      </w:r>
      <w:r>
        <w:rPr>
          <w:rFonts w:ascii="宋体" w:hAnsi="宋体"/>
          <w:bCs w:val="0"/>
          <w:caps/>
        </w:rPr>
        <w:fldChar w:fldCharType="separate"/>
      </w:r>
      <w:r>
        <w:rPr>
          <w:rFonts w:hint="eastAsia"/>
        </w:rPr>
        <w:t>1 项目概况</w:t>
      </w:r>
      <w:r>
        <w:tab/>
      </w:r>
      <w:r>
        <w:fldChar w:fldCharType="begin"/>
      </w:r>
      <w:r>
        <w:instrText xml:space="preserve"> PAGEREF _Toc28890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_Toc8089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_Toc8089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_Toc13079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_Toc13079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_Toc7767 </w:instrText>
      </w:r>
      <w:r>
        <w:fldChar w:fldCharType="separate"/>
      </w:r>
      <w:r>
        <w:rPr>
          <w:rFonts w:hint="eastAsia"/>
        </w:rPr>
        <w:t>2 计算</w:t>
      </w:r>
      <w:r>
        <w:t>依据</w:t>
      </w:r>
      <w:r>
        <w:tab/>
      </w:r>
      <w:r>
        <w:fldChar w:fldCharType="begin"/>
      </w:r>
      <w:r>
        <w:instrText xml:space="preserve"> PAGEREF _Toc7767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_Toc7320 </w:instrText>
      </w:r>
      <w:r>
        <w:fldChar w:fldCharType="separate"/>
      </w:r>
      <w:r>
        <w:rPr>
          <w:rFonts w:hint="eastAsia"/>
        </w:rPr>
        <w:t>3 参考</w:t>
      </w:r>
      <w:r>
        <w:t>标准</w:t>
      </w:r>
      <w:r>
        <w:tab/>
      </w:r>
      <w:r>
        <w:fldChar w:fldCharType="begin"/>
      </w:r>
      <w:r>
        <w:instrText xml:space="preserve"> PAGEREF _Toc7320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_Toc3653 </w:instrText>
      </w:r>
      <w:r>
        <w:fldChar w:fldCharType="separate"/>
      </w:r>
      <w:r>
        <w:rPr>
          <w:rFonts w:hint="eastAsia"/>
        </w:rPr>
        <w:t>4 计算原理</w:t>
      </w:r>
      <w:r>
        <w:tab/>
      </w:r>
      <w:r>
        <w:fldChar w:fldCharType="begin"/>
      </w:r>
      <w:r>
        <w:instrText xml:space="preserve"> PAGEREF _Toc3653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_Toc11937 </w:instrText>
      </w:r>
      <w:r>
        <w:fldChar w:fldCharType="separate"/>
      </w:r>
      <w:r>
        <w:rPr>
          <w:rFonts w:hint="eastAsia"/>
          <w:lang w:val="en-GB"/>
        </w:rPr>
        <w:t xml:space="preserve">4.1 </w:t>
      </w:r>
      <w:r>
        <w:rPr>
          <w:rFonts w:hint="eastAsia"/>
        </w:rPr>
        <w:t>风场计算域</w:t>
      </w:r>
      <w:r>
        <w:tab/>
      </w:r>
      <w:r>
        <w:fldChar w:fldCharType="begin"/>
      </w:r>
      <w:r>
        <w:instrText xml:space="preserve"> PAGEREF _Toc11937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_Toc32084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_Toc32084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_Toc4632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_Toc4632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_Toc24740 </w:instrText>
      </w:r>
      <w:r>
        <w:fldChar w:fldCharType="separate"/>
      </w:r>
      <w:r>
        <w:rPr>
          <w:rFonts w:hint="eastAsia"/>
          <w:lang w:val="en-GB"/>
        </w:rPr>
        <w:t xml:space="preserve">4.2 </w:t>
      </w:r>
      <w:r>
        <w:rPr>
          <w:rFonts w:hint="eastAsia"/>
        </w:rPr>
        <w:t>网格划分</w:t>
      </w:r>
      <w:r>
        <w:tab/>
      </w:r>
      <w:r>
        <w:fldChar w:fldCharType="begin"/>
      </w:r>
      <w:r>
        <w:instrText xml:space="preserve"> PAGEREF _Toc24740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_Toc24614 </w:instrText>
      </w:r>
      <w:r>
        <w:fldChar w:fldCharType="separate"/>
      </w:r>
      <w:r>
        <w:rPr>
          <w:rFonts w:hint="eastAsia"/>
          <w:lang w:val="en-GB"/>
        </w:rPr>
        <w:t xml:space="preserve">4.3 </w:t>
      </w:r>
      <w:r>
        <w:rPr>
          <w:rFonts w:hint="eastAsia"/>
        </w:rPr>
        <w:t>边界条件</w:t>
      </w:r>
      <w:r>
        <w:tab/>
      </w:r>
      <w:r>
        <w:fldChar w:fldCharType="begin"/>
      </w:r>
      <w:r>
        <w:instrText xml:space="preserve"> PAGEREF _Toc24614 \h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_Toc11040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_Toc11040 \h </w:instrText>
      </w:r>
      <w:r>
        <w:fldChar w:fldCharType="separate"/>
      </w:r>
      <w:r>
        <w:t>11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_Toc3303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_Toc3303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_Toc479 </w:instrText>
      </w:r>
      <w:r>
        <w:fldChar w:fldCharType="separate"/>
      </w:r>
      <w:r>
        <w:rPr>
          <w:rFonts w:hint="eastAsia"/>
          <w:lang w:val="en-GB"/>
        </w:rPr>
        <w:t xml:space="preserve">4.4 </w:t>
      </w:r>
      <w:r>
        <w:rPr>
          <w:rFonts w:hint="eastAsia"/>
        </w:rPr>
        <w:t>湍流模型</w:t>
      </w:r>
      <w:r>
        <w:tab/>
      </w:r>
      <w:r>
        <w:fldChar w:fldCharType="begin"/>
      </w:r>
      <w:r>
        <w:instrText xml:space="preserve"> PAGEREF _Toc479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_Toc27836 </w:instrText>
      </w:r>
      <w:r>
        <w:fldChar w:fldCharType="separate"/>
      </w:r>
      <w:r>
        <w:rPr>
          <w:rFonts w:hint="eastAsia"/>
          <w:lang w:val="en-GB"/>
        </w:rPr>
        <w:t xml:space="preserve">4.5 </w:t>
      </w:r>
      <w:r>
        <w:rPr>
          <w:rFonts w:hint="eastAsia"/>
        </w:rPr>
        <w:t>求解计算</w:t>
      </w:r>
      <w:r>
        <w:tab/>
      </w:r>
      <w:r>
        <w:fldChar w:fldCharType="begin"/>
      </w:r>
      <w:r>
        <w:instrText xml:space="preserve"> PAGEREF _Toc27836 \h </w:instrText>
      </w:r>
      <w:r>
        <w:fldChar w:fldCharType="separate"/>
      </w:r>
      <w:r>
        <w:t>12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_Toc17606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_Toc17606 \h </w:instrText>
      </w:r>
      <w:r>
        <w:fldChar w:fldCharType="separate"/>
      </w:r>
      <w:r>
        <w:t>13</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_Toc5373 </w:instrText>
      </w:r>
      <w:r>
        <w:fldChar w:fldCharType="separate"/>
      </w:r>
      <w:r>
        <w:rPr>
          <w:rFonts w:hint="eastAsia"/>
        </w:rPr>
        <w:t>5 结果</w:t>
      </w:r>
      <w:r>
        <w:t>分析</w:t>
      </w:r>
      <w:r>
        <w:tab/>
      </w:r>
      <w:r>
        <w:fldChar w:fldCharType="begin"/>
      </w:r>
      <w:r>
        <w:instrText xml:space="preserve"> PAGEREF _Toc5373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_Toc24286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_Toc24286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_Toc4140 </w:instrText>
      </w:r>
      <w:r>
        <w:fldChar w:fldCharType="separate"/>
      </w:r>
      <w:r>
        <w:rPr>
          <w:rFonts w:hint="eastAsia"/>
          <w:lang w:val="en-GB"/>
        </w:rPr>
        <w:t xml:space="preserve">5.2 </w:t>
      </w:r>
      <w:r>
        <w:rPr>
          <w:rFonts w:hint="eastAsia"/>
        </w:rPr>
        <w:t>冬季工况</w:t>
      </w:r>
      <w:r>
        <w:tab/>
      </w:r>
      <w:r>
        <w:fldChar w:fldCharType="begin"/>
      </w:r>
      <w:r>
        <w:instrText xml:space="preserve"> PAGEREF _Toc4140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_Toc7325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_Toc7325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_Toc28329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_Toc28329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_Toc18715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_Toc18715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_Toc25588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_Toc25588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_Toc271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_Toc271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_Toc23606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_Toc23606 \h </w:instrText>
      </w:r>
      <w:r>
        <w:fldChar w:fldCharType="separate"/>
      </w:r>
      <w:r>
        <w:t>17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_Toc267 </w:instrText>
      </w:r>
      <w:r>
        <w:fldChar w:fldCharType="separate"/>
      </w:r>
      <w:r>
        <w:rPr>
          <w:rFonts w:hint="eastAsia"/>
          <w:lang w:val="en-GB"/>
        </w:rPr>
        <w:t xml:space="preserve">5.3 </w:t>
      </w:r>
      <w:r>
        <w:rPr>
          <w:rFonts w:hint="eastAsia"/>
        </w:rPr>
        <w:t>夏季工况</w:t>
      </w:r>
      <w:r>
        <w:tab/>
      </w:r>
      <w:r>
        <w:fldChar w:fldCharType="begin"/>
      </w:r>
      <w:r>
        <w:instrText xml:space="preserve"> PAGEREF _Toc267 \h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_Toc18081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_Toc18081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_Toc5328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_Toc5328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_Toc23520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_Toc23520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_Toc1671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_Toc1671 \h </w:instrText>
      </w:r>
      <w:r>
        <w:fldChar w:fldCharType="separate"/>
      </w:r>
      <w:r>
        <w:t>22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_Toc2299 </w:instrText>
      </w:r>
      <w:r>
        <w:fldChar w:fldCharType="separate"/>
      </w:r>
      <w:r>
        <w:rPr>
          <w:rFonts w:hint="eastAsia"/>
          <w:lang w:val="en-GB"/>
        </w:rPr>
        <w:t xml:space="preserve">5.4 </w:t>
      </w:r>
      <w:r>
        <w:rPr>
          <w:rFonts w:hint="eastAsia"/>
        </w:rPr>
        <w:t>结论</w:t>
      </w:r>
      <w:r>
        <w:tab/>
      </w:r>
      <w:r>
        <w:fldChar w:fldCharType="begin"/>
      </w:r>
      <w:r>
        <w:instrText xml:space="preserve"> PAGEREF _Toc2299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_Toc13461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_Toc13461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_Toc10837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_Toc10837 \h </w:instrText>
      </w:r>
      <w:r>
        <w:fldChar w:fldCharType="separate"/>
      </w:r>
      <w:r>
        <w:t>25</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2" w:name="_Toc28890"/>
      <w:bookmarkStart w:id="13" w:name="_Toc452108759"/>
      <w:r>
        <w:rPr>
          <w:rFonts w:hint="eastAsia"/>
        </w:rPr>
        <w:t>项目概况</w:t>
      </w:r>
      <w:bookmarkEnd w:id="12"/>
      <w:bookmarkEnd w:id="13"/>
    </w:p>
    <w:p>
      <w:pPr>
        <w:pStyle w:val="3"/>
        <w:ind w:firstLine="420"/>
        <w:rPr>
          <w:lang w:val="en-US"/>
        </w:rPr>
      </w:pPr>
      <w:bookmarkStart w:id="14" w:name="项目概况"/>
      <w:bookmarkEnd w:id="14"/>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5" w:name="_Toc452108760"/>
      <w:bookmarkStart w:id="16" w:name="_Toc8089"/>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6"/>
        <w:gridCol w:w="1275"/>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7" w:name="总平面图图例表"/>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76"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75"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76"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75"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tbl>
    <w:p>
      <w:pPr>
        <w:pStyle w:val="3"/>
        <w:ind w:firstLine="0" w:firstLineChars="0"/>
        <w:jc w:val="center"/>
        <w:rPr>
          <w:lang w:val="en-US"/>
        </w:rPr>
      </w:pPr>
      <w:r>
        <w:rPr>
          <w:rFonts w:hint="eastAsia"/>
          <w:lang w:val="en-US"/>
        </w:rPr>
        <w:t xml:space="preserve"> </w:t>
      </w:r>
      <w:bookmarkStart w:id="18" w:name="总平面图"/>
      <w:bookmarkEnd w:id="18"/>
      <w:r>
        <w:drawing>
          <wp:inline distT="0" distB="0" distL="0" distR="0">
            <wp:extent cx="5667375" cy="3800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9" w:name="_Toc13079"/>
      <w:bookmarkStart w:id="20" w:name="_Toc452108761"/>
      <w:r>
        <w:rPr>
          <w:rFonts w:hint="eastAsia"/>
        </w:rPr>
        <w:t>三</w:t>
      </w:r>
      <w:r>
        <w:t>维视图</w:t>
      </w:r>
      <w:bookmarkEnd w:id="19"/>
      <w:bookmarkEnd w:id="20"/>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290"/>
        <w:gridCol w:w="1290"/>
        <w:gridCol w:w="1290"/>
        <w:gridCol w:w="12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21" w:name="三维视图图例表"/>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bookmarkEnd w:id="21"/>
    </w:tbl>
    <w:p>
      <w:pPr>
        <w:pStyle w:val="3"/>
        <w:ind w:firstLine="0" w:firstLineChars="0"/>
        <w:jc w:val="center"/>
        <w:rPr>
          <w:lang w:val="en-US"/>
        </w:rPr>
      </w:pPr>
      <w:r>
        <w:rPr>
          <w:rFonts w:hint="eastAsia"/>
          <w:lang w:val="en-US"/>
        </w:rPr>
        <w:t xml:space="preserve"> </w:t>
      </w:r>
      <w:bookmarkStart w:id="22" w:name="三维视图"/>
      <w:bookmarkEnd w:id="22"/>
      <w:r>
        <w:drawing>
          <wp:inline distT="0" distB="0" distL="0" distR="0">
            <wp:extent cx="5667375" cy="3819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3" w:name="_Toc7767"/>
      <w:bookmarkStart w:id="24" w:name="_Toc452108762"/>
      <w:bookmarkStart w:id="25" w:name="TitleFormat"/>
      <w:r>
        <w:rPr>
          <w:rFonts w:hint="eastAsia"/>
        </w:rPr>
        <w:t>计算</w:t>
      </w:r>
      <w:r>
        <w:t>依据</w:t>
      </w:r>
      <w:bookmarkEnd w:id="23"/>
      <w:bookmarkEnd w:id="24"/>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6" w:name="参考标准名称1"/>
      <w:r>
        <w:rPr>
          <w:rFonts w:hint="eastAsia"/>
          <w:lang w:val="en-US"/>
        </w:rPr>
        <w:t>河北《绿色建筑评价标准》DB13(J)T8352-2020</w:t>
      </w:r>
      <w:bookmarkEnd w:id="26"/>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7" w:name="_Toc7320"/>
      <w:bookmarkStart w:id="28" w:name="_Toc452108763"/>
      <w:r>
        <w:rPr>
          <w:rFonts w:hint="eastAsia"/>
        </w:rPr>
        <w:t>参考</w:t>
      </w:r>
      <w:r>
        <w:t>标准</w:t>
      </w:r>
      <w:bookmarkEnd w:id="27"/>
      <w:bookmarkEnd w:id="28"/>
    </w:p>
    <w:p>
      <w:pPr>
        <w:pStyle w:val="3"/>
        <w:ind w:firstLine="420"/>
        <w:rPr>
          <w:lang w:val="en-US"/>
        </w:rPr>
      </w:pPr>
      <w:r>
        <w:rPr>
          <w:rFonts w:hint="eastAsia"/>
          <w:lang w:val="en-US"/>
        </w:rPr>
        <w:t>室外风环境评价依据为</w:t>
      </w:r>
      <w:bookmarkStart w:id="29" w:name="参考标准名称2"/>
      <w:r>
        <w:rPr>
          <w:rFonts w:hint="eastAsia"/>
          <w:lang w:val="en-US"/>
        </w:rPr>
        <w:t>河北《绿色建筑评价标准》DB13(J)T8352-2020</w:t>
      </w:r>
      <w:bookmarkEnd w:id="29"/>
      <w:r>
        <w:rPr>
          <w:rFonts w:hint="eastAsia"/>
          <w:lang w:val="en-US"/>
        </w:rPr>
        <w:t>中有关室外风环境的条目要求。具体要求如下：</w:t>
      </w:r>
    </w:p>
    <w:p>
      <w:pPr>
        <w:pStyle w:val="3"/>
        <w:ind w:firstLine="420"/>
        <w:rPr>
          <w:lang w:val="en-US"/>
        </w:rPr>
      </w:pPr>
      <w:bookmarkStart w:id="30" w:name="_Toc451436145"/>
      <w:bookmarkStart w:id="31" w:name="_Toc451698935"/>
      <w:bookmarkStart w:id="32" w:name="_Toc452108764"/>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3" w:name="参考标准冬季风速得分"/>
      <w:r>
        <w:rPr>
          <w:lang w:val="en-US"/>
        </w:rPr>
        <w:t>3</w:t>
      </w:r>
      <w:bookmarkEnd w:id="33"/>
      <w:r>
        <w:rPr>
          <w:rFonts w:hint="eastAsia"/>
          <w:lang w:val="en-US"/>
        </w:rPr>
        <w:t>分；除迎风第一排建筑外，建筑迎风面与背风面表面风压差不超过5Pa，得</w:t>
      </w:r>
      <w:bookmarkStart w:id="34" w:name="参考标准冬季风压得分"/>
      <w:r>
        <w:rPr>
          <w:lang w:val="en-US"/>
        </w:rPr>
        <w:t>2</w:t>
      </w:r>
      <w:bookmarkEnd w:id="34"/>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5" w:name="参考标准夏季风速得分"/>
      <w:r>
        <w:rPr>
          <w:lang w:val="en-US"/>
        </w:rPr>
        <w:t>3</w:t>
      </w:r>
      <w:bookmarkEnd w:id="35"/>
      <w:r>
        <w:rPr>
          <w:rFonts w:hint="eastAsia"/>
          <w:lang w:val="en-US"/>
        </w:rPr>
        <w:t>分；50%以上可开启外窗室内外表面的风压差大于0.5Pa，得</w:t>
      </w:r>
      <w:bookmarkStart w:id="36" w:name="参考标准夏季风压得分"/>
      <w:r>
        <w:rPr>
          <w:lang w:val="en-US"/>
        </w:rPr>
        <w:t>2</w:t>
      </w:r>
      <w:bookmarkEnd w:id="36"/>
      <w:r>
        <w:rPr>
          <w:rFonts w:hint="eastAsia"/>
          <w:lang w:val="en-US"/>
        </w:rPr>
        <w:t>分。</w:t>
      </w:r>
    </w:p>
    <w:p>
      <w:pPr>
        <w:pStyle w:val="2"/>
      </w:pPr>
      <w:bookmarkStart w:id="37" w:name="_Toc3653"/>
      <w:r>
        <w:rPr>
          <w:rFonts w:hint="eastAsia"/>
        </w:rPr>
        <w:t>计算原理</w:t>
      </w:r>
      <w:bookmarkEnd w:id="37"/>
    </w:p>
    <w:p>
      <w:pPr>
        <w:pStyle w:val="4"/>
        <w:numPr>
          <w:ilvl w:val="1"/>
          <w:numId w:val="3"/>
        </w:numPr>
      </w:pPr>
      <w:bookmarkStart w:id="38" w:name="_Toc509844740"/>
      <w:bookmarkStart w:id="39" w:name="_Toc11937"/>
      <w:bookmarkStart w:id="40" w:name="_Toc451698937"/>
      <w:bookmarkStart w:id="41" w:name="_Toc452108765"/>
      <w:r>
        <w:rPr>
          <w:rFonts w:hint="eastAsia"/>
        </w:rPr>
        <w:t>风场计算域</w:t>
      </w:r>
      <w:bookmarkEnd w:id="38"/>
      <w:bookmarkEnd w:id="39"/>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42" w:name="_Toc32084"/>
      <w:bookmarkStart w:id="43" w:name="季节1"/>
      <w:r>
        <w:rPr>
          <w:rFonts w:hint="eastAsia"/>
        </w:rPr>
        <w:t>冬季工况风场计算域</w:t>
      </w:r>
      <w:bookmarkEnd w:id="42"/>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4" w:name="季节2"/>
      <w:r>
        <w:rPr>
          <w:rFonts w:hint="eastAsia" w:ascii="黑体" w:hAnsi="黑体" w:eastAsia="黑体"/>
          <w:sz w:val="20"/>
          <w:szCs w:val="20"/>
        </w:rPr>
        <w:t>冬季</w:t>
      </w:r>
      <w:bookmarkEnd w:id="44"/>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5" w:name="冬季风场X尺寸"/>
            <w:r>
              <w:t>586</w:t>
            </w:r>
            <w:bookmarkEnd w:id="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6" w:name="冬季风场Y尺寸"/>
            <w:r>
              <w:t>490</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7" w:name="冬季风场Z尺寸"/>
            <w:r>
              <w:t>122</w:t>
            </w:r>
            <w:bookmarkEnd w:id="47"/>
          </w:p>
        </w:tc>
      </w:tr>
    </w:tbl>
    <w:p>
      <w:pPr>
        <w:pStyle w:val="3"/>
        <w:ind w:firstLine="0" w:firstLineChars="0"/>
        <w:jc w:val="center"/>
        <w:rPr>
          <w:lang w:val="en-US"/>
        </w:rPr>
      </w:pPr>
      <w:bookmarkStart w:id="48" w:name="冬季工况风场计算域图示"/>
      <w:bookmarkEnd w:id="48"/>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9" w:name="季节3"/>
      <w:r>
        <w:rPr>
          <w:rFonts w:hint="eastAsia" w:ascii="黑体" w:hAnsi="黑体"/>
        </w:rPr>
        <w:t>冬季</w:t>
      </w:r>
      <w:bookmarkEnd w:id="49"/>
      <w:r>
        <w:rPr>
          <w:rFonts w:hint="eastAsia"/>
        </w:rPr>
        <w:t>工况风场计算域图示</w:t>
      </w:r>
      <w:r>
        <w:rPr>
          <w:rFonts w:hint="eastAsia"/>
          <w:szCs w:val="21"/>
          <w:lang w:val="en-US"/>
        </w:rPr>
        <w:t xml:space="preserve"> </w:t>
      </w:r>
    </w:p>
    <w:p>
      <w:pPr>
        <w:pStyle w:val="5"/>
        <w:numPr>
          <w:ilvl w:val="2"/>
          <w:numId w:val="3"/>
        </w:numPr>
      </w:pPr>
      <w:bookmarkStart w:id="50" w:name="_Toc4632"/>
      <w:r>
        <w:rPr>
          <w:rFonts w:hint="eastAsia"/>
        </w:rPr>
        <w:t>夏季工况风场计算域</w:t>
      </w:r>
      <w:bookmarkEnd w:id="50"/>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122</w:t>
            </w:r>
          </w:p>
        </w:tc>
      </w:tr>
    </w:tbl>
    <w:p>
      <w:pPr>
        <w:pStyle w:val="3"/>
        <w:ind w:firstLine="0" w:firstLineChars="0"/>
        <w:jc w:val="center"/>
        <w:rPr>
          <w:lang w:val="en-US"/>
        </w:rPr>
      </w:pPr>
      <w:r>
        <w:drawing>
          <wp:inline distT="0" distB="0" distL="0" distR="0">
            <wp:extent cx="5667375" cy="34099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51" w:name="计算域"/>
      <w:bookmarkEnd w:id="51"/>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52" w:name="_Toc24740"/>
      <w:bookmarkStart w:id="53" w:name="_Toc509844741"/>
      <w:r>
        <w:rPr>
          <w:rFonts w:hint="eastAsia"/>
        </w:rPr>
        <w:t>网格划分</w:t>
      </w:r>
      <w:bookmarkEnd w:id="52"/>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54" w:name="OLE_LINK276"/>
      <w:bookmarkStart w:id="55" w:name="OLE_LINK277"/>
      <w:r>
        <w:rPr>
          <w:rFonts w:hint="eastAsia"/>
        </w:rPr>
        <w:t>1）普通网格：指除靠近地面和建筑以外的网格，通常不需要特别加密处理</w:t>
      </w:r>
    </w:p>
    <w:p>
      <w:pPr>
        <w:pStyle w:val="12"/>
        <w:numPr>
          <w:ilvl w:val="0"/>
          <w:numId w:val="4"/>
        </w:numPr>
        <w:spacing w:before="156"/>
      </w:pPr>
      <w:bookmarkStart w:id="56" w:name="OLE_LINK15"/>
      <w:r>
        <w:rPr>
          <w:rFonts w:hint="eastAsia"/>
        </w:rPr>
        <w:t>分弧精度：对于有圆弧特征的建筑局部，把圆弧分解为线段时，弦到弧的最大距离；</w:t>
      </w:r>
    </w:p>
    <w:bookmarkEnd w:id="56"/>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bookmarkStart w:id="57" w:name="附面层网格信息"/>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54"/>
      <w:bookmarkEnd w:id="55"/>
    </w:p>
    <w:bookmarkEnd w:id="57"/>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58" w:name="冬季网格总数"/>
            <w:r>
              <w:t>671668</w:t>
            </w:r>
            <w:bookmarkEnd w:id="58"/>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冬季分弧精度"/>
            <w:r>
              <w:t>0.24</w:t>
            </w:r>
            <w:bookmarkEnd w:id="5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冬季初始网格"/>
            <w:r>
              <w:t>8.0</w:t>
            </w:r>
            <w:bookmarkEnd w:id="6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1" w:name="冬季最小细分级数"/>
            <w:r>
              <w:t>1</w:t>
            </w:r>
            <w:bookmarkEnd w:id="6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2" w:name="冬季最大细分级数"/>
            <w:r>
              <w:t>2</w:t>
            </w:r>
            <w:bookmarkEnd w:id="62"/>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3" w:name="冬季远场细分级数"/>
            <w:r>
              <w:t>1</w:t>
            </w:r>
            <w:bookmarkEnd w:id="6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4" w:name="冬季近场细分级数"/>
            <w:r>
              <w:t>2</w:t>
            </w:r>
            <w:bookmarkEnd w:id="6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5" w:name="冬季地面附面层数"/>
            <w:r>
              <w:t>2</w:t>
            </w:r>
            <w:bookmarkEnd w:id="6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6" w:name="冬季建筑附面层数"/>
            <w:r>
              <w:t>0</w:t>
            </w:r>
            <w:bookmarkEnd w:id="66"/>
          </w:p>
        </w:tc>
      </w:tr>
    </w:tbl>
    <w:p>
      <w:pPr>
        <w:rPr>
          <w:szCs w:val="21"/>
          <w:lang w:val="en-US"/>
        </w:rPr>
      </w:pPr>
    </w:p>
    <w:p>
      <w:pPr>
        <w:jc w:val="center"/>
      </w:pPr>
      <w:bookmarkStart w:id="67" w:name="网格图"/>
      <w:bookmarkEnd w:id="67"/>
      <w:r>
        <w:drawing>
          <wp:inline distT="0" distB="0" distL="0" distR="0">
            <wp:extent cx="5667375" cy="34290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4"/>
                    <a:stretch>
                      <a:fillRect/>
                    </a:stretch>
                  </pic:blipFill>
                  <pic:spPr>
                    <a:xfrm>
                      <a:off x="0" y="0"/>
                      <a:ext cx="5667375" cy="342900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8" w:name="季节"/>
      <w:r>
        <w:rPr>
          <w:rFonts w:hint="eastAsia" w:ascii="黑体" w:hAnsi="黑体" w:eastAsia="黑体"/>
          <w:sz w:val="20"/>
          <w:szCs w:val="20"/>
        </w:rPr>
        <w:t>冬季</w:t>
      </w:r>
      <w:bookmarkEnd w:id="68"/>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591519</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bookmarkEnd w:id="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4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1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bookmarkEnd w:id="11"/>
          </w:p>
        </w:tc>
      </w:tr>
    </w:tbl>
    <w:p>
      <w:pPr>
        <w:rPr>
          <w:szCs w:val="21"/>
          <w:lang w:val="en-US"/>
        </w:rPr>
      </w:pPr>
    </w:p>
    <w:p>
      <w:pPr>
        <w:jc w:val="center"/>
      </w:pPr>
      <w:r>
        <w:drawing>
          <wp:inline distT="0" distB="0" distL="0" distR="0">
            <wp:extent cx="5667375" cy="34290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5"/>
                    <a:stretch>
                      <a:fillRect/>
                    </a:stretch>
                  </pic:blipFill>
                  <pic:spPr>
                    <a:xfrm>
                      <a:off x="0" y="0"/>
                      <a:ext cx="5667375" cy="342900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pStyle w:val="3"/>
        <w:ind w:firstLine="630" w:firstLineChars="300"/>
        <w:rPr>
          <w:rFonts w:ascii="黑体" w:hAnsi="黑体" w:eastAsia="黑体"/>
          <w:szCs w:val="20"/>
          <w:lang w:val="en-US"/>
        </w:rPr>
      </w:pPr>
      <w:bookmarkStart w:id="69" w:name="网格划分信息"/>
      <w:bookmarkEnd w:id="69"/>
      <w:r>
        <w:rPr>
          <w:rFonts w:hint="eastAsia" w:ascii="黑体" w:hAnsi="黑体" w:eastAsia="黑体"/>
          <w:szCs w:val="20"/>
          <w:lang w:val="en-US"/>
        </w:rPr>
        <w:t>注：前述计算域随风向不同，所以相同的网格方案会产生不同的网格数量。</w:t>
      </w:r>
    </w:p>
    <w:bookmarkEnd w:id="53"/>
    <w:p>
      <w:pPr>
        <w:pStyle w:val="3"/>
        <w:ind w:firstLine="0" w:firstLineChars="0"/>
        <w:rPr>
          <w:rFonts w:ascii="黑体" w:hAnsi="黑体" w:eastAsia="黑体"/>
          <w:szCs w:val="20"/>
          <w:lang w:val="en-US"/>
        </w:rPr>
      </w:pPr>
    </w:p>
    <w:p>
      <w:pPr>
        <w:pStyle w:val="4"/>
        <w:numPr>
          <w:ilvl w:val="1"/>
          <w:numId w:val="3"/>
        </w:numPr>
      </w:pPr>
      <w:bookmarkStart w:id="70" w:name="_Toc24614"/>
      <w:bookmarkStart w:id="71" w:name="_Toc509844742"/>
      <w:r>
        <w:rPr>
          <w:rFonts w:hint="eastAsia"/>
        </w:rPr>
        <w:t>边界条件</w:t>
      </w:r>
      <w:bookmarkEnd w:id="70"/>
      <w:bookmarkEnd w:id="71"/>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72" w:name="_Toc509844743"/>
      <w:bookmarkStart w:id="73" w:name="_Toc11040"/>
      <w:r>
        <w:rPr>
          <w:rFonts w:hint="eastAsia"/>
        </w:rPr>
        <w:t>入口与出口边界条件</w:t>
      </w:r>
      <w:bookmarkEnd w:id="72"/>
      <w:bookmarkEnd w:id="73"/>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0.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74" w:name="地面粗糙度指数2"/>
      <w:r>
        <w:rPr>
          <w:rFonts w:hint="eastAsia"/>
          <w:lang w:val="en-US"/>
        </w:rPr>
        <w:t>0.22</w:t>
      </w:r>
      <w:bookmarkEnd w:id="74"/>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75" w:name="_Toc3303"/>
      <w:bookmarkStart w:id="76" w:name="_Toc509844744"/>
      <w:r>
        <w:rPr>
          <w:rFonts w:hint="eastAsia"/>
        </w:rPr>
        <w:t>壁面边界条件</w:t>
      </w:r>
      <w:bookmarkEnd w:id="75"/>
      <w:bookmarkEnd w:id="76"/>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7" w:name="_Toc479"/>
      <w:r>
        <w:rPr>
          <w:rFonts w:hint="eastAsia"/>
        </w:rPr>
        <w:t>湍流模型</w:t>
      </w:r>
      <w:bookmarkEnd w:id="40"/>
      <w:bookmarkEnd w:id="41"/>
      <w:bookmarkEnd w:id="77"/>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8" w:name="_Toc451698939"/>
      <w:bookmarkStart w:id="79" w:name="_Toc27836"/>
      <w:bookmarkStart w:id="80" w:name="_Toc452108767"/>
      <w:r>
        <w:rPr>
          <w:rFonts w:hint="eastAsia"/>
        </w:rPr>
        <w:t>求解计算</w:t>
      </w:r>
      <w:bookmarkEnd w:id="78"/>
      <w:bookmarkEnd w:id="79"/>
      <w:bookmarkEnd w:id="80"/>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8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81"/>
      <w:r>
        <w:rPr>
          <w:rFonts w:hint="eastAsia" w:ascii="黑体" w:hAnsi="黑体" w:eastAsia="黑体"/>
          <w:sz w:val="20"/>
          <w:szCs w:val="20"/>
        </w:rPr>
        <w:t xml:space="preserve"> </w:t>
      </w:r>
      <w:bookmarkStart w:id="82" w:name="_Ref225175618"/>
      <w:r>
        <w:rPr>
          <w:rFonts w:hint="eastAsia" w:ascii="黑体" w:hAnsi="黑体" w:eastAsia="黑体"/>
          <w:sz w:val="20"/>
          <w:szCs w:val="20"/>
        </w:rPr>
        <w:t>计算流体力学的控制方程</w:t>
      </w:r>
      <w:bookmarkEnd w:id="82"/>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30"/>
    </w:p>
    <w:p>
      <w:pPr>
        <w:pStyle w:val="4"/>
      </w:pPr>
      <w:bookmarkStart w:id="83" w:name="_Toc509844747"/>
      <w:bookmarkStart w:id="84" w:name="_Toc17606"/>
      <w:r>
        <w:rPr>
          <w:rFonts w:hint="eastAsia"/>
        </w:rPr>
        <w:t>风速放大系数计算</w:t>
      </w:r>
      <w:bookmarkEnd w:id="83"/>
      <w:bookmarkEnd w:id="84"/>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3.5pt;width:13.5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7.25pt;width:24.75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1pt;width:24.75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1pt;width:21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85" w:name="地面粗糙度指数"/>
      <w:r>
        <w:rPr>
          <w:rFonts w:hint="eastAsia"/>
          <w:lang w:val="en-US"/>
        </w:rPr>
        <w:t>0.22</w:t>
      </w:r>
      <w:bookmarkEnd w:id="85"/>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6" w:name="_Toc5373"/>
      <w:bookmarkStart w:id="87" w:name="_Toc452108768"/>
      <w:r>
        <w:rPr>
          <w:rFonts w:hint="eastAsia"/>
        </w:rPr>
        <w:t>结果</w:t>
      </w:r>
      <w:r>
        <w:t>分析</w:t>
      </w:r>
      <w:bookmarkEnd w:id="86"/>
      <w:bookmarkEnd w:id="87"/>
    </w:p>
    <w:p>
      <w:pPr>
        <w:pStyle w:val="4"/>
        <w:rPr>
          <w:szCs w:val="21"/>
        </w:rPr>
      </w:pPr>
      <w:bookmarkStart w:id="88" w:name="_Toc24286"/>
      <w:r>
        <w:rPr>
          <w:rFonts w:hint="eastAsia"/>
          <w:szCs w:val="21"/>
        </w:rPr>
        <w:t>工况</w:t>
      </w:r>
      <w:r>
        <w:rPr>
          <w:szCs w:val="21"/>
        </w:rPr>
        <w:t>表</w:t>
      </w:r>
      <w:bookmarkEnd w:id="88"/>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9"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2.00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67.5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2.60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270.0</w:t>
            </w:r>
          </w:p>
        </w:tc>
      </w:tr>
      <w:bookmarkEnd w:id="89"/>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90" w:name="_Toc509844750"/>
      <w:bookmarkStart w:id="91" w:name="_Toc4140"/>
      <w:r>
        <w:rPr>
          <w:rFonts w:hint="eastAsia"/>
        </w:rPr>
        <w:t>冬季工况</w:t>
      </w:r>
      <w:bookmarkEnd w:id="90"/>
      <w:bookmarkEnd w:id="91"/>
    </w:p>
    <w:p>
      <w:pPr>
        <w:ind w:firstLine="420" w:firstLineChars="200"/>
        <w:jc w:val="both"/>
      </w:pPr>
      <w:r>
        <w:rPr>
          <w:rFonts w:hint="eastAsia"/>
          <w:lang w:val="en-US"/>
        </w:rPr>
        <w:t>本项目冬季工况的入口边界风速为</w:t>
      </w:r>
      <w:bookmarkStart w:id="92" w:name="冬季入口边界风速"/>
      <w:r>
        <w:rPr>
          <w:rFonts w:hint="eastAsia" w:ascii="Calibri" w:hAnsi="Calibri"/>
          <w:szCs w:val="21"/>
        </w:rPr>
        <w:t>2.00</w:t>
      </w:r>
      <w:bookmarkEnd w:id="92"/>
      <w:r>
        <w:rPr>
          <w:rFonts w:ascii="Calibri" w:hAnsi="Calibri"/>
          <w:szCs w:val="21"/>
        </w:rPr>
        <w:t>m/s</w:t>
      </w:r>
      <w:r>
        <w:rPr>
          <w:rFonts w:hint="eastAsia" w:ascii="Calibri" w:hAnsi="Calibri"/>
          <w:szCs w:val="21"/>
        </w:rPr>
        <w:t>，风向为</w:t>
      </w:r>
      <w:bookmarkStart w:id="93" w:name="冬季入口边界风向"/>
      <w:r>
        <w:rPr>
          <w:szCs w:val="21"/>
        </w:rPr>
        <w:t>NNE</w:t>
      </w:r>
      <w:bookmarkEnd w:id="93"/>
      <w:r>
        <w:rPr>
          <w:rFonts w:hint="eastAsia"/>
          <w:szCs w:val="21"/>
        </w:rPr>
        <w:t>。</w:t>
      </w:r>
    </w:p>
    <w:p>
      <w:pPr>
        <w:pStyle w:val="5"/>
      </w:pPr>
      <w:bookmarkStart w:id="94" w:name="_Toc7325"/>
      <w:bookmarkStart w:id="95" w:name="_Toc509844751"/>
      <w:r>
        <w:rPr>
          <w:rFonts w:hint="eastAsia"/>
        </w:rPr>
        <w:t>人行区域风速达标分析</w:t>
      </w:r>
      <w:bookmarkEnd w:id="94"/>
      <w:bookmarkEnd w:id="95"/>
      <w:r>
        <w:rPr>
          <w:rFonts w:hint="eastAsia"/>
        </w:rPr>
        <w:t xml:space="preserve"> </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96" w:name="冬季工况人行区风速分析结论"/>
      <w:bookmarkEnd w:id="96"/>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7" w:name="冬季工况人行区风速云图"/>
      <w:bookmarkEnd w:id="97"/>
      <w:r>
        <w:drawing>
          <wp:inline distT="0" distB="0" distL="0" distR="0">
            <wp:extent cx="5667375" cy="31718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2"/>
                    <a:stretch>
                      <a:fillRect/>
                    </a:stretch>
                  </pic:blipFill>
                  <pic:spPr>
                    <a:xfrm>
                      <a:off x="0" y="0"/>
                      <a:ext cx="5667375" cy="31718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rPr>
          <w:lang w:val="en-US"/>
        </w:rPr>
      </w:pPr>
    </w:p>
    <w:p>
      <w:pPr>
        <w:pStyle w:val="5"/>
      </w:pPr>
      <w:bookmarkStart w:id="98" w:name="_Toc509844752"/>
      <w:bookmarkStart w:id="99" w:name="_Toc28329"/>
      <w:r>
        <w:rPr>
          <w:rFonts w:hint="eastAsia"/>
        </w:rPr>
        <w:t>人行区域风速放大系数达标分析</w:t>
      </w:r>
      <w:bookmarkEnd w:id="98"/>
      <w:bookmarkEnd w:id="99"/>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100" w:name="冬季工况人行区风速放大系数分析结论"/>
      <w:bookmarkEnd w:id="100"/>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101" w:name="冬季工况人行区风速放大系数云图"/>
      <w:bookmarkEnd w:id="101"/>
      <w:r>
        <w:drawing>
          <wp:inline distT="0" distB="0" distL="0" distR="0">
            <wp:extent cx="5667375" cy="3124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3"/>
                    <a:stretch>
                      <a:fillRect/>
                    </a:stretch>
                  </pic:blipFill>
                  <pic:spPr>
                    <a:xfrm>
                      <a:off x="0" y="0"/>
                      <a:ext cx="5667375" cy="31242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rPr>
          <w:lang w:val="en-US"/>
        </w:rPr>
      </w:pPr>
    </w:p>
    <w:p>
      <w:pPr>
        <w:pStyle w:val="5"/>
      </w:pPr>
      <w:bookmarkStart w:id="102" w:name="_Toc18715"/>
      <w:r>
        <w:rPr>
          <w:rFonts w:hint="eastAsia"/>
        </w:rPr>
        <w:t>户外休息区、儿童娱乐区</w:t>
      </w:r>
      <w:r>
        <w:t>域风速达标分析</w:t>
      </w:r>
      <w:bookmarkEnd w:id="102"/>
    </w:p>
    <w:p>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pPr>
        <w:pStyle w:val="3"/>
        <w:ind w:firstLine="420"/>
        <w:rPr>
          <w:lang w:val="en-US"/>
        </w:rPr>
      </w:pPr>
      <w:r>
        <w:rPr>
          <w:rFonts w:hint="eastAsia"/>
          <w:lang w:val="en-US"/>
        </w:rPr>
        <w:t>分析下列图数据，</w:t>
      </w:r>
      <w:bookmarkStart w:id="103" w:name="冬季工况休息区风速分析结论"/>
      <w:bookmarkEnd w:id="103"/>
      <w:r>
        <w:rPr>
          <w:lang w:val="en-US"/>
        </w:rPr>
        <w:t>未标示出超标区域，可知户外休息区、儿童娱乐区风速小于2m/s，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104" w:name="冬季工况休息区风速云图"/>
      <w:bookmarkEnd w:id="104"/>
      <w:r>
        <w:drawing>
          <wp:inline distT="0" distB="0" distL="0" distR="0">
            <wp:extent cx="5667375" cy="3171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4"/>
                    <a:stretch>
                      <a:fillRect/>
                    </a:stretch>
                  </pic:blipFill>
                  <pic:spPr>
                    <a:xfrm>
                      <a:off x="0" y="0"/>
                      <a:ext cx="5667375" cy="31718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pPr>
        <w:pStyle w:val="5"/>
      </w:pPr>
      <w:bookmarkStart w:id="105" w:name="_Toc25588"/>
      <w:r>
        <w:rPr>
          <w:rFonts w:hint="eastAsia"/>
        </w:rPr>
        <w:t>户外休息区、儿童娱乐区风速放大系数达标</w:t>
      </w:r>
      <w:r>
        <w:t>分析</w:t>
      </w:r>
      <w:bookmarkEnd w:id="105"/>
    </w:p>
    <w:p>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106" w:name="冬季工况户外休息区和儿童娱乐区风速放大系数分析结论"/>
      <w:bookmarkEnd w:id="106"/>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pPr>
        <w:pStyle w:val="13"/>
        <w:jc w:val="center"/>
      </w:pPr>
      <w:bookmarkStart w:id="107" w:name="冬季工况户外休息区和儿童娱乐区风速放大系数云图"/>
      <w:bookmarkEnd w:id="107"/>
      <w:r>
        <w:drawing>
          <wp:inline distT="0" distB="0" distL="0" distR="0">
            <wp:extent cx="5667375" cy="31242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5"/>
                    <a:stretch>
                      <a:fillRect/>
                    </a:stretch>
                  </pic:blipFill>
                  <pic:spPr>
                    <a:xfrm>
                      <a:off x="0" y="0"/>
                      <a:ext cx="5667375" cy="31242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3"/>
        <w:ind w:firstLine="420"/>
        <w:rPr>
          <w:lang w:val="en-US"/>
        </w:rPr>
      </w:pPr>
    </w:p>
    <w:p>
      <w:pPr>
        <w:pStyle w:val="5"/>
      </w:pPr>
      <w:bookmarkStart w:id="108" w:name="_Toc509844753"/>
      <w:bookmarkStart w:id="109" w:name="_Toc271"/>
      <w:r>
        <w:rPr>
          <w:rFonts w:hint="eastAsia"/>
        </w:rPr>
        <w:t>冬季工况风速/风速放大系数达标</w:t>
      </w:r>
      <w:bookmarkEnd w:id="108"/>
      <w:r>
        <w:rPr>
          <w:rFonts w:hint="eastAsia"/>
        </w:rPr>
        <w:t>结果汇总</w:t>
      </w:r>
      <w:bookmarkEnd w:id="109"/>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0" w:name="冬季工况风速是否有超限区域"/>
            <w:r>
              <w:rPr>
                <w:rFonts w:hint="eastAsia" w:ascii="宋体" w:hAnsi="宋体" w:cs="宋体"/>
                <w:color w:val="000000"/>
                <w:sz w:val="22"/>
                <w:szCs w:val="22"/>
                <w:lang w:val="en-US"/>
              </w:rPr>
              <w:t>否</w:t>
            </w:r>
            <w:bookmarkEnd w:id="110"/>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1" w:name="冬季工况风速达标判断"/>
            <w:r>
              <w:rPr>
                <w:rFonts w:hint="eastAsia" w:ascii="宋体" w:hAnsi="宋体" w:cs="宋体"/>
                <w:color w:val="000000"/>
                <w:sz w:val="22"/>
                <w:szCs w:val="22"/>
                <w:lang w:val="en-US"/>
              </w:rPr>
              <w:t>是</w:t>
            </w:r>
            <w:bookmarkEnd w:id="111"/>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2" w:name="冬季工况风速放大系数是否有超限区域"/>
            <w:r>
              <w:rPr>
                <w:rFonts w:hint="eastAsia" w:ascii="宋体" w:hAnsi="宋体" w:cs="宋体"/>
                <w:color w:val="000000"/>
                <w:sz w:val="22"/>
                <w:szCs w:val="22"/>
                <w:lang w:val="en-US"/>
              </w:rPr>
              <w:t>否</w:t>
            </w:r>
            <w:bookmarkEnd w:id="112"/>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3" w:name="冬季工况风速放大系数达标判断"/>
            <w:r>
              <w:rPr>
                <w:rFonts w:hint="eastAsia" w:ascii="宋体" w:hAnsi="宋体" w:cs="宋体"/>
                <w:color w:val="000000"/>
                <w:sz w:val="22"/>
                <w:szCs w:val="22"/>
                <w:lang w:val="en-US"/>
              </w:rPr>
              <w:t>是</w:t>
            </w:r>
            <w:bookmarkEnd w:id="113"/>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4" w:name="冬季工况休息区风速是否有超限区域"/>
            <w:r>
              <w:rPr>
                <w:rFonts w:hint="eastAsia" w:ascii="宋体" w:hAnsi="宋体" w:cs="宋体"/>
                <w:color w:val="000000"/>
                <w:sz w:val="22"/>
                <w:szCs w:val="22"/>
                <w:lang w:val="en-US"/>
              </w:rPr>
              <w:t>否</w:t>
            </w:r>
            <w:bookmarkEnd w:id="114"/>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5" w:name="冬季工况休息区风速达标判断"/>
            <w:r>
              <w:rPr>
                <w:rFonts w:hint="eastAsia" w:ascii="宋体" w:hAnsi="宋体" w:cs="宋体"/>
                <w:color w:val="000000"/>
                <w:sz w:val="22"/>
                <w:szCs w:val="22"/>
                <w:lang w:val="en-US"/>
              </w:rPr>
              <w:t>是</w:t>
            </w:r>
            <w:bookmarkEnd w:id="115"/>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bookmarkStart w:id="116" w:name="冬季工况休息区和儿童娱乐区风速放大系数标准要求限值"/>
            <w:r>
              <w:rPr>
                <w:rFonts w:ascii="宋体" w:hAnsi="宋体" w:cs="宋体"/>
                <w:szCs w:val="21"/>
              </w:rPr>
              <w:t>2</w:t>
            </w:r>
            <w:bookmarkEnd w:id="116"/>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7" w:name="冬季工况户外休息区风速放大系数是否有超限区域"/>
            <w:r>
              <w:rPr>
                <w:rFonts w:hint="eastAsia" w:ascii="宋体" w:hAnsi="宋体" w:cs="宋体"/>
                <w:color w:val="000000"/>
                <w:sz w:val="22"/>
                <w:szCs w:val="22"/>
                <w:lang w:val="en-US"/>
              </w:rPr>
              <w:t>否</w:t>
            </w:r>
            <w:bookmarkEnd w:id="117"/>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8" w:name="冬季工况户外休息区风速放大系数达标判断"/>
            <w:r>
              <w:rPr>
                <w:rFonts w:hint="eastAsia" w:ascii="宋体" w:hAnsi="宋体" w:cs="宋体"/>
                <w:color w:val="000000"/>
                <w:sz w:val="22"/>
                <w:szCs w:val="22"/>
                <w:lang w:val="en-US"/>
              </w:rPr>
              <w:t>是</w:t>
            </w:r>
            <w:bookmarkEnd w:id="118"/>
          </w:p>
        </w:tc>
      </w:tr>
    </w:tbl>
    <w:p/>
    <w:p>
      <w:pPr>
        <w:pStyle w:val="5"/>
      </w:pPr>
      <w:bookmarkStart w:id="119" w:name="_Toc23606"/>
      <w:r>
        <w:rPr>
          <w:rFonts w:hint="eastAsia"/>
        </w:rPr>
        <w:t>建筑迎风面和背风面风压分析</w:t>
      </w:r>
      <w:bookmarkEnd w:id="17"/>
      <w:bookmarkEnd w:id="119"/>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1.1</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20" w:name="冬季工况建筑迎风面风压云图"/>
      <w:bookmarkEnd w:id="120"/>
      <w:r>
        <w:drawing>
          <wp:inline distT="0" distB="0" distL="0" distR="0">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7"/>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21" w:name="冬季工况建筑背风面风压云图"/>
      <w:bookmarkEnd w:id="121"/>
      <w:r>
        <w:drawing>
          <wp:inline distT="0" distB="0" distL="0" distR="0">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8"/>
                    <a:stretch>
                      <a:fillRect/>
                    </a:stretch>
                  </pic:blipFill>
                  <pic:spPr>
                    <a:xfrm>
                      <a:off x="0" y="0"/>
                      <a:ext cx="5667375" cy="34290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22" w:name="建筑迎风面和背风面风压差计算结果"/>
      <w:r>
        <w:rPr>
          <w:rFonts w:hint="eastAsia"/>
        </w:rPr>
        <w:t>建筑迎风面和背风面风压差计算结果</w:t>
      </w:r>
    </w:p>
    <w:p>
      <w:pPr>
        <w:jc w:val="center"/>
        <w:rPr>
          <w:rFonts w:ascii="Cambria" w:hAnsi="Cambria" w:eastAsia="黑体"/>
          <w:sz w:val="20"/>
        </w:rPr>
      </w:pPr>
      <w:bookmarkStart w:id="123"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24" w:name="建筑迎背风面风压差表_建筑名"/>
      <w:r>
        <w:rPr>
          <w:rFonts w:ascii="Cambria" w:hAnsi="Cambria" w:eastAsia="黑体"/>
          <w:sz w:val="20"/>
        </w:rPr>
        <w:t>5#宿舍楼</w:t>
      </w:r>
      <w:bookmarkEnd w:id="124"/>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2.83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1.30</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-1.18</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2.48</w:t>
            </w:r>
          </w:p>
        </w:tc>
      </w:tr>
      <w:bookmarkEnd w:id="123"/>
    </w:tbl>
    <w:p>
      <w:bookmarkStart w:id="125" w:name="结论"/>
      <w:bookmarkEnd w:id="125"/>
      <w:r>
        <w:t>结论：迎风第一排建筑，</w:t>
      </w:r>
      <w:r>
        <w:rPr>
          <w:b/>
          <w:color w:val="00FF00"/>
        </w:rPr>
        <w:t>标准未做要求</w:t>
      </w:r>
      <w:r>
        <w:t>。</w:t>
      </w:r>
    </w:p>
    <w:bookmarkEnd w:id="122"/>
    <w:p>
      <w:pPr>
        <w:jc w:val="center"/>
        <w:rPr>
          <w:rFonts w:ascii="Cambria" w:hAnsi="Cambria" w:eastAsia="黑体"/>
          <w:sz w:val="20"/>
        </w:rPr>
      </w:pPr>
      <w:bookmarkStart w:id="126" w:name="建筑迎背风面风压差表_新增"/>
      <w:bookmarkEnd w:id="126"/>
    </w:p>
    <w:bookmarkEnd w:id="25"/>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27"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1#宿舍楼</w:t>
            </w:r>
          </w:p>
        </w:tc>
        <w:tc>
          <w:tcPr>
            <w:tcW w:w="1276" w:type="dxa"/>
            <w:shd w:val="clear" w:color="auto" w:fill="auto"/>
            <w:vAlign w:val="center"/>
          </w:tcPr>
          <w:p>
            <w:pPr>
              <w:jc w:val="center"/>
              <w:rPr>
                <w:lang w:val="en-US"/>
              </w:rPr>
            </w:pPr>
            <w:r>
              <w:rPr>
                <w:lang w:val="en-US"/>
              </w:rPr>
              <w:t>0.68</w:t>
            </w:r>
          </w:p>
        </w:tc>
        <w:tc>
          <w:tcPr>
            <w:tcW w:w="1276" w:type="dxa"/>
            <w:shd w:val="clear" w:color="auto" w:fill="auto"/>
            <w:vAlign w:val="center"/>
          </w:tcPr>
          <w:p>
            <w:pPr>
              <w:jc w:val="center"/>
              <w:rPr>
                <w:lang w:val="en-US"/>
              </w:rPr>
            </w:pPr>
            <w:r>
              <w:rPr>
                <w:lang w:val="en-US"/>
              </w:rPr>
              <w:t>-0.92</w:t>
            </w:r>
          </w:p>
        </w:tc>
        <w:tc>
          <w:tcPr>
            <w:tcW w:w="1701" w:type="dxa"/>
            <w:shd w:val="clear" w:color="auto" w:fill="auto"/>
            <w:vAlign w:val="center"/>
          </w:tcPr>
          <w:p>
            <w:pPr>
              <w:jc w:val="center"/>
              <w:rPr>
                <w:lang w:val="en-US"/>
              </w:rPr>
            </w:pPr>
            <w:r>
              <w:rPr>
                <w:lang w:val="en-US"/>
              </w:rPr>
              <w:t>1.60</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14#办公楼</w:t>
            </w:r>
          </w:p>
        </w:tc>
        <w:tc>
          <w:tcPr>
            <w:tcW w:w="1276" w:type="dxa"/>
            <w:shd w:val="clear" w:color="auto" w:fill="auto"/>
            <w:vAlign w:val="center"/>
          </w:tcPr>
          <w:p>
            <w:pPr>
              <w:jc w:val="center"/>
              <w:rPr>
                <w:lang w:val="en-US"/>
              </w:rPr>
            </w:pPr>
            <w:r>
              <w:rPr>
                <w:lang w:val="en-US"/>
              </w:rPr>
              <w:t>0.71</w:t>
            </w:r>
          </w:p>
        </w:tc>
        <w:tc>
          <w:tcPr>
            <w:tcW w:w="1276" w:type="dxa"/>
            <w:shd w:val="clear" w:color="auto" w:fill="auto"/>
            <w:vAlign w:val="center"/>
          </w:tcPr>
          <w:p>
            <w:pPr>
              <w:jc w:val="center"/>
              <w:rPr>
                <w:lang w:val="en-US"/>
              </w:rPr>
            </w:pPr>
            <w:r>
              <w:rPr>
                <w:lang w:val="en-US"/>
              </w:rPr>
              <w:t>-1.17</w:t>
            </w:r>
          </w:p>
        </w:tc>
        <w:tc>
          <w:tcPr>
            <w:tcW w:w="1701" w:type="dxa"/>
            <w:shd w:val="clear" w:color="auto" w:fill="auto"/>
            <w:vAlign w:val="center"/>
          </w:tcPr>
          <w:p>
            <w:pPr>
              <w:jc w:val="center"/>
              <w:rPr>
                <w:lang w:val="en-US"/>
              </w:rPr>
            </w:pPr>
            <w:r>
              <w:rPr>
                <w:lang w:val="en-US"/>
              </w:rPr>
              <w:t>1.88</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15#实验楼</w:t>
            </w:r>
          </w:p>
        </w:tc>
        <w:tc>
          <w:tcPr>
            <w:tcW w:w="1276" w:type="dxa"/>
            <w:shd w:val="clear" w:color="auto" w:fill="auto"/>
            <w:vAlign w:val="center"/>
          </w:tcPr>
          <w:p>
            <w:pPr>
              <w:jc w:val="center"/>
              <w:rPr>
                <w:lang w:val="en-US"/>
              </w:rPr>
            </w:pPr>
            <w:r>
              <w:rPr>
                <w:lang w:val="en-US"/>
              </w:rPr>
              <w:t>0.06</w:t>
            </w:r>
          </w:p>
        </w:tc>
        <w:tc>
          <w:tcPr>
            <w:tcW w:w="1276" w:type="dxa"/>
            <w:shd w:val="clear" w:color="auto" w:fill="auto"/>
            <w:vAlign w:val="center"/>
          </w:tcPr>
          <w:p>
            <w:pPr>
              <w:jc w:val="center"/>
              <w:rPr>
                <w:lang w:val="en-US"/>
              </w:rPr>
            </w:pPr>
            <w:r>
              <w:rPr>
                <w:lang w:val="en-US"/>
              </w:rPr>
              <w:t>-1.28</w:t>
            </w:r>
          </w:p>
        </w:tc>
        <w:tc>
          <w:tcPr>
            <w:tcW w:w="1701" w:type="dxa"/>
            <w:shd w:val="clear" w:color="auto" w:fill="auto"/>
            <w:vAlign w:val="center"/>
          </w:tcPr>
          <w:p>
            <w:pPr>
              <w:jc w:val="center"/>
              <w:rPr>
                <w:lang w:val="en-US"/>
              </w:rPr>
            </w:pPr>
            <w:r>
              <w:rPr>
                <w:lang w:val="en-US"/>
              </w:rPr>
              <w:t>1.34</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16#教学楼</w:t>
            </w:r>
          </w:p>
        </w:tc>
        <w:tc>
          <w:tcPr>
            <w:tcW w:w="1276" w:type="dxa"/>
            <w:shd w:val="clear" w:color="auto" w:fill="auto"/>
            <w:vAlign w:val="center"/>
          </w:tcPr>
          <w:p>
            <w:pPr>
              <w:jc w:val="center"/>
              <w:rPr>
                <w:lang w:val="en-US"/>
              </w:rPr>
            </w:pPr>
            <w:r>
              <w:rPr>
                <w:lang w:val="en-US"/>
              </w:rPr>
              <w:t>-0.63</w:t>
            </w:r>
          </w:p>
        </w:tc>
        <w:tc>
          <w:tcPr>
            <w:tcW w:w="1276" w:type="dxa"/>
            <w:shd w:val="clear" w:color="auto" w:fill="auto"/>
            <w:vAlign w:val="center"/>
          </w:tcPr>
          <w:p>
            <w:pPr>
              <w:jc w:val="center"/>
              <w:rPr>
                <w:lang w:val="en-US"/>
              </w:rPr>
            </w:pPr>
            <w:r>
              <w:rPr>
                <w:lang w:val="en-US"/>
              </w:rPr>
              <w:t>-0.88</w:t>
            </w:r>
          </w:p>
        </w:tc>
        <w:tc>
          <w:tcPr>
            <w:tcW w:w="1701" w:type="dxa"/>
            <w:shd w:val="clear" w:color="auto" w:fill="auto"/>
            <w:vAlign w:val="center"/>
          </w:tcPr>
          <w:p>
            <w:pPr>
              <w:jc w:val="center"/>
              <w:rPr>
                <w:lang w:val="en-US"/>
              </w:rPr>
            </w:pPr>
            <w:r>
              <w:rPr>
                <w:lang w:val="en-US"/>
              </w:rPr>
              <w:t>0.25</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17#综合楼</w:t>
            </w:r>
          </w:p>
        </w:tc>
        <w:tc>
          <w:tcPr>
            <w:tcW w:w="1276" w:type="dxa"/>
            <w:shd w:val="clear" w:color="auto" w:fill="auto"/>
            <w:vAlign w:val="center"/>
          </w:tcPr>
          <w:p>
            <w:pPr>
              <w:jc w:val="center"/>
              <w:rPr>
                <w:lang w:val="en-US"/>
              </w:rPr>
            </w:pPr>
            <w:r>
              <w:rPr>
                <w:lang w:val="en-US"/>
              </w:rPr>
              <w:t>-0.69</w:t>
            </w:r>
          </w:p>
        </w:tc>
        <w:tc>
          <w:tcPr>
            <w:tcW w:w="1276" w:type="dxa"/>
            <w:shd w:val="clear" w:color="auto" w:fill="auto"/>
            <w:vAlign w:val="center"/>
          </w:tcPr>
          <w:p>
            <w:pPr>
              <w:jc w:val="center"/>
              <w:rPr>
                <w:lang w:val="en-US"/>
              </w:rPr>
            </w:pPr>
            <w:r>
              <w:rPr>
                <w:lang w:val="en-US"/>
              </w:rPr>
              <w:t>-0.59</w:t>
            </w:r>
          </w:p>
        </w:tc>
        <w:tc>
          <w:tcPr>
            <w:tcW w:w="1701" w:type="dxa"/>
            <w:shd w:val="clear" w:color="auto" w:fill="auto"/>
            <w:vAlign w:val="center"/>
          </w:tcPr>
          <w:p>
            <w:pPr>
              <w:jc w:val="center"/>
              <w:rPr>
                <w:lang w:val="en-US"/>
              </w:rPr>
            </w:pPr>
            <w:r>
              <w:rPr>
                <w:lang w:val="en-US"/>
              </w:rPr>
              <w:t>-0.10</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5#宿舍楼</w:t>
            </w:r>
          </w:p>
        </w:tc>
        <w:tc>
          <w:tcPr>
            <w:tcW w:w="1276" w:type="dxa"/>
            <w:shd w:val="clear" w:color="auto" w:fill="auto"/>
            <w:vAlign w:val="center"/>
          </w:tcPr>
          <w:p>
            <w:pPr>
              <w:jc w:val="center"/>
              <w:rPr>
                <w:lang w:val="en-US"/>
              </w:rPr>
            </w:pPr>
            <w:r>
              <w:rPr>
                <w:lang w:val="en-US"/>
              </w:rPr>
              <w:t>1.30</w:t>
            </w:r>
          </w:p>
        </w:tc>
        <w:tc>
          <w:tcPr>
            <w:tcW w:w="1276" w:type="dxa"/>
            <w:shd w:val="clear" w:color="auto" w:fill="auto"/>
            <w:vAlign w:val="center"/>
          </w:tcPr>
          <w:p>
            <w:pPr>
              <w:jc w:val="center"/>
              <w:rPr>
                <w:lang w:val="en-US"/>
              </w:rPr>
            </w:pPr>
            <w:r>
              <w:rPr>
                <w:lang w:val="en-US"/>
              </w:rPr>
              <w:t>-1.18</w:t>
            </w:r>
          </w:p>
        </w:tc>
        <w:tc>
          <w:tcPr>
            <w:tcW w:w="1701" w:type="dxa"/>
            <w:shd w:val="clear" w:color="auto" w:fill="auto"/>
            <w:vAlign w:val="center"/>
          </w:tcPr>
          <w:p>
            <w:pPr>
              <w:jc w:val="center"/>
              <w:rPr>
                <w:lang w:val="en-US"/>
              </w:rPr>
            </w:pPr>
            <w:r>
              <w:rPr>
                <w:lang w:val="en-US"/>
              </w:rPr>
              <w:t>2.48</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6#食堂</w:t>
            </w:r>
          </w:p>
        </w:tc>
        <w:tc>
          <w:tcPr>
            <w:tcW w:w="1276" w:type="dxa"/>
            <w:shd w:val="clear" w:color="auto" w:fill="auto"/>
            <w:vAlign w:val="center"/>
          </w:tcPr>
          <w:p>
            <w:pPr>
              <w:jc w:val="center"/>
              <w:rPr>
                <w:lang w:val="en-US"/>
              </w:rPr>
            </w:pPr>
            <w:r>
              <w:rPr>
                <w:lang w:val="en-US"/>
              </w:rPr>
              <w:t>-0.51</w:t>
            </w:r>
          </w:p>
        </w:tc>
        <w:tc>
          <w:tcPr>
            <w:tcW w:w="1276" w:type="dxa"/>
            <w:shd w:val="clear" w:color="auto" w:fill="auto"/>
            <w:vAlign w:val="center"/>
          </w:tcPr>
          <w:p>
            <w:pPr>
              <w:jc w:val="center"/>
              <w:rPr>
                <w:lang w:val="en-US"/>
              </w:rPr>
            </w:pPr>
            <w:r>
              <w:rPr>
                <w:lang w:val="en-US"/>
              </w:rPr>
              <w:t>-0.38</w:t>
            </w:r>
          </w:p>
        </w:tc>
        <w:tc>
          <w:tcPr>
            <w:tcW w:w="1701" w:type="dxa"/>
            <w:shd w:val="clear" w:color="auto" w:fill="auto"/>
            <w:vAlign w:val="center"/>
          </w:tcPr>
          <w:p>
            <w:pPr>
              <w:jc w:val="center"/>
              <w:rPr>
                <w:lang w:val="en-US"/>
              </w:rPr>
            </w:pPr>
            <w:r>
              <w:rPr>
                <w:lang w:val="en-US"/>
              </w:rPr>
              <w:t>-0.13</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&lt;未命名&gt;</w:t>
            </w:r>
          </w:p>
        </w:tc>
        <w:tc>
          <w:tcPr>
            <w:tcW w:w="1276" w:type="dxa"/>
            <w:shd w:val="clear" w:color="auto" w:fill="auto"/>
            <w:vAlign w:val="center"/>
          </w:tcPr>
          <w:p>
            <w:pPr>
              <w:jc w:val="center"/>
              <w:rPr>
                <w:lang w:val="en-US"/>
              </w:rPr>
            </w:pPr>
            <w:r>
              <w:rPr>
                <w:lang w:val="en-US"/>
              </w:rPr>
              <w:t>-0.49</w:t>
            </w:r>
          </w:p>
        </w:tc>
        <w:tc>
          <w:tcPr>
            <w:tcW w:w="1276" w:type="dxa"/>
            <w:shd w:val="clear" w:color="auto" w:fill="auto"/>
            <w:vAlign w:val="center"/>
          </w:tcPr>
          <w:p>
            <w:pPr>
              <w:jc w:val="center"/>
              <w:rPr>
                <w:lang w:val="en-US"/>
              </w:rPr>
            </w:pPr>
            <w:r>
              <w:rPr>
                <w:lang w:val="en-US"/>
              </w:rPr>
              <w:t>-0.30</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10#宿舍楼</w:t>
            </w:r>
          </w:p>
        </w:tc>
        <w:tc>
          <w:tcPr>
            <w:tcW w:w="1276" w:type="dxa"/>
            <w:shd w:val="clear" w:color="auto" w:fill="auto"/>
            <w:vAlign w:val="center"/>
          </w:tcPr>
          <w:p>
            <w:pPr>
              <w:jc w:val="center"/>
              <w:rPr>
                <w:lang w:val="en-US"/>
              </w:rPr>
            </w:pPr>
            <w:r>
              <w:rPr>
                <w:lang w:val="en-US"/>
              </w:rPr>
              <w:t>-0.65</w:t>
            </w:r>
          </w:p>
        </w:tc>
        <w:tc>
          <w:tcPr>
            <w:tcW w:w="1276" w:type="dxa"/>
            <w:shd w:val="clear" w:color="auto" w:fill="auto"/>
            <w:vAlign w:val="center"/>
          </w:tcPr>
          <w:p>
            <w:pPr>
              <w:jc w:val="center"/>
              <w:rPr>
                <w:lang w:val="en-US"/>
              </w:rPr>
            </w:pPr>
            <w:r>
              <w:rPr>
                <w:lang w:val="en-US"/>
              </w:rPr>
              <w:t>-0.39</w:t>
            </w:r>
          </w:p>
        </w:tc>
        <w:tc>
          <w:tcPr>
            <w:tcW w:w="1701" w:type="dxa"/>
            <w:shd w:val="clear" w:color="auto" w:fill="auto"/>
            <w:vAlign w:val="center"/>
          </w:tcPr>
          <w:p>
            <w:pPr>
              <w:jc w:val="center"/>
              <w:rPr>
                <w:lang w:val="en-US"/>
              </w:rPr>
            </w:pPr>
            <w:r>
              <w:rPr>
                <w:lang w:val="en-US"/>
              </w:rPr>
              <w:t>-0.26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11#综合楼</w:t>
            </w:r>
          </w:p>
        </w:tc>
        <w:tc>
          <w:tcPr>
            <w:tcW w:w="1276" w:type="dxa"/>
            <w:shd w:val="clear" w:color="auto" w:fill="auto"/>
            <w:vAlign w:val="center"/>
          </w:tcPr>
          <w:p>
            <w:pPr>
              <w:jc w:val="center"/>
              <w:rPr>
                <w:lang w:val="en-US"/>
              </w:rPr>
            </w:pPr>
            <w:r>
              <w:rPr>
                <w:lang w:val="en-US"/>
              </w:rPr>
              <w:t>-0.40</w:t>
            </w:r>
          </w:p>
        </w:tc>
        <w:tc>
          <w:tcPr>
            <w:tcW w:w="1276" w:type="dxa"/>
            <w:shd w:val="clear" w:color="auto" w:fill="auto"/>
            <w:vAlign w:val="center"/>
          </w:tcPr>
          <w:p>
            <w:pPr>
              <w:jc w:val="center"/>
              <w:rPr>
                <w:lang w:val="en-US"/>
              </w:rPr>
            </w:pPr>
            <w:r>
              <w:rPr>
                <w:lang w:val="en-US"/>
              </w:rPr>
              <w:t>-0.63</w:t>
            </w:r>
          </w:p>
        </w:tc>
        <w:tc>
          <w:tcPr>
            <w:tcW w:w="1701" w:type="dxa"/>
            <w:shd w:val="clear" w:color="auto" w:fill="auto"/>
            <w:vAlign w:val="center"/>
          </w:tcPr>
          <w:p>
            <w:pPr>
              <w:jc w:val="center"/>
              <w:rPr>
                <w:lang w:val="en-US"/>
              </w:rPr>
            </w:pPr>
            <w:r>
              <w:rPr>
                <w:lang w:val="en-US"/>
              </w:rPr>
              <w:t>0.23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2#宿舍楼</w:t>
            </w:r>
          </w:p>
        </w:tc>
        <w:tc>
          <w:tcPr>
            <w:tcW w:w="1276" w:type="dxa"/>
            <w:shd w:val="clear" w:color="auto" w:fill="auto"/>
            <w:vAlign w:val="center"/>
          </w:tcPr>
          <w:p>
            <w:pPr>
              <w:jc w:val="center"/>
              <w:rPr>
                <w:lang w:val="en-US"/>
              </w:rPr>
            </w:pPr>
            <w:r>
              <w:rPr>
                <w:lang w:val="en-US"/>
              </w:rPr>
              <w:t>-0.84</w:t>
            </w:r>
          </w:p>
        </w:tc>
        <w:tc>
          <w:tcPr>
            <w:tcW w:w="1276" w:type="dxa"/>
            <w:shd w:val="clear" w:color="auto" w:fill="auto"/>
            <w:vAlign w:val="center"/>
          </w:tcPr>
          <w:p>
            <w:pPr>
              <w:jc w:val="center"/>
              <w:rPr>
                <w:lang w:val="en-US"/>
              </w:rPr>
            </w:pPr>
            <w:r>
              <w:rPr>
                <w:lang w:val="en-US"/>
              </w:rPr>
              <w:t>-0.78</w:t>
            </w:r>
          </w:p>
        </w:tc>
        <w:tc>
          <w:tcPr>
            <w:tcW w:w="1701" w:type="dxa"/>
            <w:shd w:val="clear" w:color="auto" w:fill="auto"/>
            <w:vAlign w:val="center"/>
          </w:tcPr>
          <w:p>
            <w:pPr>
              <w:jc w:val="center"/>
              <w:rPr>
                <w:lang w:val="en-US"/>
              </w:rPr>
            </w:pPr>
            <w:r>
              <w:rPr>
                <w:lang w:val="en-US"/>
              </w:rPr>
              <w:t>-0.06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3#宿舍楼</w:t>
            </w:r>
          </w:p>
        </w:tc>
        <w:tc>
          <w:tcPr>
            <w:tcW w:w="1276" w:type="dxa"/>
            <w:shd w:val="clear" w:color="auto" w:fill="auto"/>
            <w:vAlign w:val="center"/>
          </w:tcPr>
          <w:p>
            <w:pPr>
              <w:jc w:val="center"/>
              <w:rPr>
                <w:lang w:val="en-US"/>
              </w:rPr>
            </w:pPr>
            <w:r>
              <w:rPr>
                <w:lang w:val="en-US"/>
              </w:rPr>
              <w:t>-0.43</w:t>
            </w:r>
          </w:p>
        </w:tc>
        <w:tc>
          <w:tcPr>
            <w:tcW w:w="1276" w:type="dxa"/>
            <w:shd w:val="clear" w:color="auto" w:fill="auto"/>
            <w:vAlign w:val="center"/>
          </w:tcPr>
          <w:p>
            <w:pPr>
              <w:jc w:val="center"/>
              <w:rPr>
                <w:lang w:val="en-US"/>
              </w:rPr>
            </w:pPr>
            <w:r>
              <w:rPr>
                <w:lang w:val="en-US"/>
              </w:rPr>
              <w:t>-0.70</w:t>
            </w:r>
          </w:p>
        </w:tc>
        <w:tc>
          <w:tcPr>
            <w:tcW w:w="1701" w:type="dxa"/>
            <w:shd w:val="clear" w:color="auto" w:fill="auto"/>
            <w:vAlign w:val="center"/>
          </w:tcPr>
          <w:p>
            <w:pPr>
              <w:jc w:val="center"/>
              <w:rPr>
                <w:lang w:val="en-US"/>
              </w:rPr>
            </w:pPr>
            <w:r>
              <w:rPr>
                <w:lang w:val="en-US"/>
              </w:rPr>
              <w:t>0.28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4#宿舍楼</w:t>
            </w:r>
          </w:p>
        </w:tc>
        <w:tc>
          <w:tcPr>
            <w:tcW w:w="1276" w:type="dxa"/>
            <w:shd w:val="clear" w:color="auto" w:fill="auto"/>
            <w:vAlign w:val="center"/>
          </w:tcPr>
          <w:p>
            <w:pPr>
              <w:jc w:val="center"/>
              <w:rPr>
                <w:lang w:val="en-US"/>
              </w:rPr>
            </w:pPr>
            <w:r>
              <w:rPr>
                <w:lang w:val="en-US"/>
              </w:rPr>
              <w:t>-0.10</w:t>
            </w:r>
          </w:p>
        </w:tc>
        <w:tc>
          <w:tcPr>
            <w:tcW w:w="1276" w:type="dxa"/>
            <w:shd w:val="clear" w:color="auto" w:fill="auto"/>
            <w:vAlign w:val="center"/>
          </w:tcPr>
          <w:p>
            <w:pPr>
              <w:jc w:val="center"/>
              <w:rPr>
                <w:lang w:val="en-US"/>
              </w:rPr>
            </w:pPr>
            <w:r>
              <w:rPr>
                <w:lang w:val="en-US"/>
              </w:rPr>
              <w:t>-0.90</w:t>
            </w:r>
          </w:p>
        </w:tc>
        <w:tc>
          <w:tcPr>
            <w:tcW w:w="1701" w:type="dxa"/>
            <w:shd w:val="clear" w:color="auto" w:fill="auto"/>
            <w:vAlign w:val="center"/>
          </w:tcPr>
          <w:p>
            <w:pPr>
              <w:jc w:val="center"/>
              <w:rPr>
                <w:lang w:val="en-US"/>
              </w:rPr>
            </w:pPr>
            <w:r>
              <w:rPr>
                <w:lang w:val="en-US"/>
              </w:rPr>
              <w:t>0.80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8#宿舍楼</w:t>
            </w:r>
          </w:p>
        </w:tc>
        <w:tc>
          <w:tcPr>
            <w:tcW w:w="1276" w:type="dxa"/>
            <w:shd w:val="clear" w:color="auto" w:fill="auto"/>
            <w:vAlign w:val="center"/>
          </w:tcPr>
          <w:p>
            <w:pPr>
              <w:jc w:val="center"/>
              <w:rPr>
                <w:lang w:val="en-US"/>
              </w:rPr>
            </w:pPr>
            <w:r>
              <w:rPr>
                <w:lang w:val="en-US"/>
              </w:rPr>
              <w:t>-0.17</w:t>
            </w:r>
          </w:p>
        </w:tc>
        <w:tc>
          <w:tcPr>
            <w:tcW w:w="1276" w:type="dxa"/>
            <w:shd w:val="clear" w:color="auto" w:fill="auto"/>
            <w:vAlign w:val="center"/>
          </w:tcPr>
          <w:p>
            <w:pPr>
              <w:jc w:val="center"/>
              <w:rPr>
                <w:lang w:val="en-US"/>
              </w:rPr>
            </w:pPr>
            <w:r>
              <w:rPr>
                <w:lang w:val="en-US"/>
              </w:rPr>
              <w:t>-0.91</w:t>
            </w:r>
          </w:p>
        </w:tc>
        <w:tc>
          <w:tcPr>
            <w:tcW w:w="1701" w:type="dxa"/>
            <w:shd w:val="clear" w:color="auto" w:fill="auto"/>
            <w:vAlign w:val="center"/>
          </w:tcPr>
          <w:p>
            <w:pPr>
              <w:jc w:val="center"/>
              <w:rPr>
                <w:lang w:val="en-US"/>
              </w:rPr>
            </w:pPr>
            <w:r>
              <w:rPr>
                <w:lang w:val="en-US"/>
              </w:rPr>
              <w:t>0.74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9#教学楼</w:t>
            </w:r>
          </w:p>
        </w:tc>
        <w:tc>
          <w:tcPr>
            <w:tcW w:w="1276" w:type="dxa"/>
            <w:shd w:val="clear" w:color="auto" w:fill="auto"/>
            <w:vAlign w:val="center"/>
          </w:tcPr>
          <w:p>
            <w:pPr>
              <w:jc w:val="center"/>
              <w:rPr>
                <w:lang w:val="en-US"/>
              </w:rPr>
            </w:pPr>
            <w:r>
              <w:rPr>
                <w:lang w:val="en-US"/>
              </w:rPr>
              <w:t>-0.13</w:t>
            </w:r>
          </w:p>
        </w:tc>
        <w:tc>
          <w:tcPr>
            <w:tcW w:w="1276" w:type="dxa"/>
            <w:shd w:val="clear" w:color="auto" w:fill="auto"/>
            <w:vAlign w:val="center"/>
          </w:tcPr>
          <w:p>
            <w:pPr>
              <w:jc w:val="center"/>
              <w:rPr>
                <w:lang w:val="en-US"/>
              </w:rPr>
            </w:pPr>
            <w:r>
              <w:rPr>
                <w:lang w:val="en-US"/>
              </w:rPr>
              <w:t>-0.77</w:t>
            </w:r>
          </w:p>
        </w:tc>
        <w:tc>
          <w:tcPr>
            <w:tcW w:w="1701" w:type="dxa"/>
            <w:shd w:val="clear" w:color="auto" w:fill="auto"/>
            <w:vAlign w:val="center"/>
          </w:tcPr>
          <w:p>
            <w:pPr>
              <w:jc w:val="center"/>
              <w:rPr>
                <w:lang w:val="en-US"/>
              </w:rPr>
            </w:pPr>
            <w:r>
              <w:rPr>
                <w:lang w:val="en-US"/>
              </w:rPr>
              <w:t>0.64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公共卫生间</w:t>
            </w:r>
          </w:p>
        </w:tc>
        <w:tc>
          <w:tcPr>
            <w:tcW w:w="1276" w:type="dxa"/>
            <w:shd w:val="clear" w:color="auto" w:fill="auto"/>
            <w:vAlign w:val="center"/>
          </w:tcPr>
          <w:p>
            <w:pPr>
              <w:jc w:val="center"/>
              <w:rPr>
                <w:lang w:val="en-US"/>
              </w:rPr>
            </w:pPr>
            <w:r>
              <w:rPr>
                <w:lang w:val="en-US"/>
              </w:rPr>
              <w:t>-0.82</w:t>
            </w:r>
          </w:p>
        </w:tc>
        <w:tc>
          <w:tcPr>
            <w:tcW w:w="1276" w:type="dxa"/>
            <w:shd w:val="clear" w:color="auto" w:fill="auto"/>
            <w:vAlign w:val="center"/>
          </w:tcPr>
          <w:p>
            <w:pPr>
              <w:jc w:val="center"/>
              <w:rPr>
                <w:lang w:val="en-US"/>
              </w:rPr>
            </w:pPr>
            <w:r>
              <w:rPr>
                <w:lang w:val="en-US"/>
              </w:rPr>
              <w:t>-0.70</w:t>
            </w:r>
          </w:p>
        </w:tc>
        <w:tc>
          <w:tcPr>
            <w:tcW w:w="1701" w:type="dxa"/>
            <w:shd w:val="clear" w:color="auto" w:fill="auto"/>
            <w:vAlign w:val="center"/>
          </w:tcPr>
          <w:p>
            <w:pPr>
              <w:jc w:val="center"/>
              <w:rPr>
                <w:lang w:val="en-US"/>
              </w:rPr>
            </w:pPr>
            <w:r>
              <w:rPr>
                <w:lang w:val="en-US"/>
              </w:rPr>
              <w:t>-0.12</w:t>
            </w:r>
          </w:p>
        </w:tc>
        <w:tc>
          <w:tcPr>
            <w:tcW w:w="973" w:type="dxa"/>
            <w:shd w:val="clear" w:color="auto" w:fill="auto"/>
            <w:vAlign w:val="center"/>
          </w:tcPr>
          <w:p>
            <w:pPr>
              <w:jc w:val="center"/>
              <w:rPr>
                <w:lang w:val="en-US"/>
              </w:rPr>
            </w:pPr>
            <w:r>
              <w:rPr>
                <w:lang w:val="en-US"/>
              </w:rPr>
              <w:t>是</w:t>
            </w:r>
          </w:p>
        </w:tc>
      </w:tr>
      <w:bookmarkEnd w:id="127"/>
    </w:tbl>
    <w:p>
      <w:pPr>
        <w:rPr>
          <w:lang w:val="en-US"/>
        </w:rPr>
      </w:pPr>
      <w:bookmarkStart w:id="128" w:name="建筑迎风和背风面风压差结论汇总结论"/>
      <w:bookmarkEnd w:id="128"/>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129" w:name="冬季工况"/>
      <w:bookmarkEnd w:id="129"/>
      <w:r>
        <w:rPr>
          <w:rFonts w:hint="eastAsia"/>
          <w:lang w:val="en-US"/>
        </w:rPr>
        <w:t xml:space="preserve"> </w:t>
      </w:r>
    </w:p>
    <w:p>
      <w:pPr>
        <w:pStyle w:val="4"/>
      </w:pPr>
      <w:bookmarkStart w:id="130" w:name="_Toc509844759"/>
      <w:bookmarkStart w:id="131" w:name="_Toc267"/>
      <w:r>
        <w:rPr>
          <w:rFonts w:hint="eastAsia"/>
        </w:rPr>
        <w:t>夏季工况</w:t>
      </w:r>
      <w:bookmarkEnd w:id="130"/>
      <w:bookmarkEnd w:id="131"/>
    </w:p>
    <w:p>
      <w:pPr>
        <w:pStyle w:val="3"/>
        <w:ind w:firstLine="420"/>
      </w:pPr>
      <w:r>
        <w:rPr>
          <w:rFonts w:hint="eastAsia"/>
          <w:lang w:val="en-US"/>
        </w:rPr>
        <w:t>本项目夏季</w:t>
      </w:r>
      <w:bookmarkEnd w:id="2"/>
      <w:r>
        <w:rPr>
          <w:rFonts w:hint="eastAsia"/>
          <w:lang w:val="en-US"/>
        </w:rPr>
        <w:t>工况的入口边界风速为</w:t>
      </w:r>
      <w:bookmarkStart w:id="132" w:name="入口边界风速"/>
      <w:r>
        <w:rPr>
          <w:rFonts w:hint="eastAsia"/>
          <w:lang w:val="en-US"/>
        </w:rPr>
        <w:t>2.60</w:t>
      </w:r>
      <w:bookmarkEnd w:id="132"/>
      <w:r>
        <w:rPr>
          <w:rFonts w:hint="eastAsia"/>
          <w:lang w:val="en-US"/>
        </w:rPr>
        <w:t>m/s，风向为</w:t>
      </w:r>
      <w:bookmarkStart w:id="133" w:name="入口边界风向"/>
      <w:r>
        <w:t>S</w:t>
      </w:r>
      <w:bookmarkEnd w:id="133"/>
      <w:r>
        <w:rPr>
          <w:rFonts w:hint="eastAsia"/>
          <w:lang w:val="en-US"/>
        </w:rPr>
        <w:t>。</w:t>
      </w:r>
    </w:p>
    <w:p>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34" w:name="季节4"/>
      <w:r>
        <w:rPr>
          <w:rFonts w:hint="eastAsia"/>
          <w:lang w:val="en-US"/>
        </w:rPr>
        <w:t>夏季</w:t>
      </w:r>
      <w:bookmarkEnd w:id="134"/>
      <w:r>
        <w:rPr>
          <w:rFonts w:hint="eastAsia"/>
          <w:lang w:val="en-US"/>
        </w:rPr>
        <w:t>形成有效的巷道风，优化街区自然通风环境，避免</w:t>
      </w:r>
      <w:bookmarkStart w:id="135" w:name="季节5"/>
      <w:r>
        <w:rPr>
          <w:rFonts w:hint="eastAsia"/>
          <w:lang w:val="en-US"/>
        </w:rPr>
        <w:t>夏季</w:t>
      </w:r>
      <w:bookmarkEnd w:id="135"/>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36" w:name="_Toc509844760"/>
      <w:bookmarkStart w:id="137" w:name="_Toc18081"/>
      <w:r>
        <w:rPr>
          <w:rFonts w:hint="eastAsia"/>
        </w:rPr>
        <w:t>人活动区域无风区计算分析</w:t>
      </w:r>
      <w:bookmarkEnd w:id="136"/>
      <w:bookmarkEnd w:id="137"/>
    </w:p>
    <w:p>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38" w:name="人活动区风速分析结论"/>
      <w:bookmarkEnd w:id="138"/>
      <w:r>
        <w:t>人活动区内未标示出风速</w:t>
      </w:r>
      <w:r>
        <w:rPr>
          <w:color w:val="0000FF"/>
        </w:rPr>
        <w:t>小于</w:t>
      </w:r>
      <w:r>
        <w:t>0.2m/s的超限区域，因此人活动区风速</w:t>
      </w:r>
      <w:r>
        <w:rPr>
          <w:color w:val="0000FF"/>
        </w:rPr>
        <w:t>满足</w:t>
      </w:r>
      <w:r>
        <w:t>绿标要求，项目可采用现有建筑布局。</w:t>
      </w:r>
    </w:p>
    <w:p>
      <w:pPr>
        <w:pStyle w:val="3"/>
        <w:spacing w:after="156" w:afterLines="50"/>
        <w:ind w:firstLine="0" w:firstLineChars="0"/>
        <w:jc w:val="center"/>
      </w:pPr>
      <w:bookmarkStart w:id="139" w:name="人行区风速云图"/>
      <w:bookmarkEnd w:id="139"/>
      <w:r>
        <w:drawing>
          <wp:inline distT="0" distB="0" distL="0" distR="0">
            <wp:extent cx="5667375" cy="31718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9"/>
                    <a:stretch>
                      <a:fillRect/>
                    </a:stretch>
                  </pic:blipFill>
                  <pic:spPr>
                    <a:xfrm>
                      <a:off x="0" y="0"/>
                      <a:ext cx="5667375" cy="317182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40" w:name="季节6"/>
      <w:r>
        <w:rPr>
          <w:rFonts w:hint="eastAsia" w:ascii="黑体" w:hAnsi="黑体" w:eastAsia="黑体"/>
          <w:sz w:val="20"/>
          <w:szCs w:val="20"/>
        </w:rPr>
        <w:t>夏季</w:t>
      </w:r>
      <w:bookmarkEnd w:id="140"/>
      <w:r>
        <w:rPr>
          <w:rFonts w:hint="eastAsia"/>
        </w:rPr>
        <w:t xml:space="preserve"> </w:t>
      </w:r>
    </w:p>
    <w:p>
      <w:pPr>
        <w:pStyle w:val="3"/>
        <w:ind w:firstLine="420"/>
      </w:pPr>
    </w:p>
    <w:p>
      <w:pPr>
        <w:pStyle w:val="5"/>
      </w:pPr>
      <w:bookmarkStart w:id="141" w:name="_Toc509844761"/>
      <w:bookmarkStart w:id="142" w:name="_Toc5328"/>
      <w:r>
        <w:rPr>
          <w:rFonts w:hint="eastAsia"/>
        </w:rPr>
        <w:t>人活动区域旋涡区分析</w:t>
      </w:r>
      <w:bookmarkEnd w:id="141"/>
      <w:bookmarkEnd w:id="142"/>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pPr>
        <w:pStyle w:val="3"/>
        <w:ind w:firstLine="0" w:firstLineChars="0"/>
        <w:jc w:val="center"/>
        <w:rPr>
          <w:lang w:val="en-US"/>
        </w:rPr>
      </w:pPr>
      <w:bookmarkStart w:id="143" w:name="人行区风速矢量图"/>
      <w:bookmarkEnd w:id="143"/>
      <w:r>
        <w:drawing>
          <wp:inline distT="0" distB="0" distL="0" distR="0">
            <wp:extent cx="5667375" cy="36195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0"/>
                    <a:stretch>
                      <a:fillRect/>
                    </a:stretch>
                  </pic:blipFill>
                  <pic:spPr>
                    <a:xfrm>
                      <a:off x="0" y="0"/>
                      <a:ext cx="5667375" cy="3619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pPr>
        <w:pStyle w:val="3"/>
        <w:ind w:firstLine="420"/>
        <w:rPr>
          <w:lang w:val="en-US"/>
        </w:rPr>
      </w:pPr>
    </w:p>
    <w:p>
      <w:pPr>
        <w:pStyle w:val="5"/>
      </w:pPr>
      <w:bookmarkStart w:id="144" w:name="_Toc509844762"/>
      <w:bookmarkStart w:id="145" w:name="_Toc23520"/>
      <w:r>
        <w:rPr>
          <w:rFonts w:hint="eastAsia"/>
        </w:rPr>
        <w:t>人活动区域旋涡区/无风区达标</w:t>
      </w:r>
      <w:bookmarkEnd w:id="144"/>
      <w:r>
        <w:rPr>
          <w:rFonts w:hint="eastAsia"/>
        </w:rPr>
        <w:t>结果汇总</w:t>
      </w:r>
      <w:bookmarkEnd w:id="145"/>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46" w:name="季节8"/>
      <w:r>
        <w:rPr>
          <w:rFonts w:hint="eastAsia" w:ascii="黑体" w:hAnsi="黑体" w:eastAsia="黑体"/>
          <w:sz w:val="20"/>
          <w:szCs w:val="20"/>
        </w:rPr>
        <w:t>夏季</w:t>
      </w:r>
      <w:bookmarkEnd w:id="146"/>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7" w:name="是否有无风区"/>
            <w:r>
              <w:rPr>
                <w:rFonts w:hint="eastAsia" w:ascii="宋体" w:hAnsi="宋体" w:cs="宋体"/>
                <w:color w:val="000000"/>
                <w:sz w:val="22"/>
                <w:szCs w:val="22"/>
                <w:lang w:val="en-US"/>
              </w:rPr>
              <w:t>否</w:t>
            </w:r>
            <w:bookmarkEnd w:id="147"/>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8" w:name="无风区达标判断"/>
            <w:r>
              <w:rPr>
                <w:rFonts w:hint="eastAsia" w:ascii="宋体" w:hAnsi="宋体" w:cs="宋体"/>
                <w:color w:val="000000"/>
                <w:sz w:val="22"/>
                <w:szCs w:val="22"/>
                <w:lang w:val="en-US"/>
              </w:rPr>
              <w:t>是</w:t>
            </w:r>
            <w:bookmarkEnd w:id="148"/>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9" w:name="是否有旋涡区"/>
            <w:r>
              <w:rPr>
                <w:rFonts w:ascii="宋体" w:hAnsi="宋体" w:cs="宋体"/>
                <w:color w:val="000000"/>
                <w:sz w:val="22"/>
                <w:szCs w:val="22"/>
                <w:lang w:val="en-US"/>
              </w:rPr>
              <w:t>否</w:t>
            </w:r>
            <w:bookmarkEnd w:id="149"/>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50" w:name="旋涡区达标判断"/>
            <w:r>
              <w:rPr>
                <w:rFonts w:ascii="宋体" w:hAnsi="宋体" w:cs="宋体"/>
                <w:color w:val="000000"/>
                <w:sz w:val="22"/>
                <w:szCs w:val="22"/>
                <w:lang w:val="en-US"/>
              </w:rPr>
              <w:t>是</w:t>
            </w:r>
            <w:bookmarkEnd w:id="150"/>
          </w:p>
        </w:tc>
      </w:tr>
    </w:tbl>
    <w:p>
      <w:pPr>
        <w:pStyle w:val="5"/>
      </w:pPr>
      <w:bookmarkStart w:id="151" w:name="_Toc504501018"/>
      <w:bookmarkStart w:id="152" w:name="_Toc509844763"/>
      <w:bookmarkStart w:id="153" w:name="_Toc1671"/>
      <w:r>
        <w:rPr>
          <w:rFonts w:hint="eastAsia"/>
        </w:rPr>
        <w:t>外窗内外表面风压</w:t>
      </w:r>
      <w:bookmarkEnd w:id="151"/>
      <w:r>
        <w:rPr>
          <w:rFonts w:hint="eastAsia"/>
        </w:rPr>
        <w:t>差达标分析</w:t>
      </w:r>
      <w:bookmarkEnd w:id="152"/>
      <w:bookmarkEnd w:id="153"/>
    </w:p>
    <w:p>
      <w:pPr>
        <w:pStyle w:val="3"/>
        <w:ind w:firstLine="420"/>
      </w:pPr>
      <w:r>
        <w:rPr>
          <w:rFonts w:hint="eastAsia"/>
          <w:lang w:val="en-US"/>
        </w:rPr>
        <w:t>分析《绿色建筑评价标准》，</w:t>
      </w:r>
      <w:bookmarkStart w:id="154" w:name="季节9"/>
      <w:r>
        <w:rPr>
          <w:rFonts w:hint="eastAsia"/>
          <w:lang w:val="en-US"/>
        </w:rPr>
        <w:t>夏季</w:t>
      </w:r>
      <w:bookmarkEnd w:id="154"/>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55" w:name="迎风面风压云图"/>
      <w:bookmarkEnd w:id="155"/>
      <w:r>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1"/>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56" w:name="季节10"/>
      <w:r>
        <w:rPr>
          <w:rFonts w:hint="eastAsia" w:ascii="黑体" w:hAnsi="黑体" w:eastAsia="黑体"/>
          <w:sz w:val="20"/>
          <w:szCs w:val="20"/>
        </w:rPr>
        <w:t>夏季</w:t>
      </w:r>
      <w:bookmarkEnd w:id="156"/>
    </w:p>
    <w:p>
      <w:pPr>
        <w:pStyle w:val="13"/>
        <w:jc w:val="center"/>
      </w:pPr>
      <w:bookmarkStart w:id="157" w:name="背风面风压云图"/>
      <w:bookmarkEnd w:id="157"/>
      <w:r>
        <w:drawing>
          <wp:inline distT="0" distB="0" distL="0" distR="0">
            <wp:extent cx="5667375" cy="3429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2"/>
                    <a:stretch>
                      <a:fillRect/>
                    </a:stretch>
                  </pic:blipFill>
                  <pic:spPr>
                    <a:xfrm>
                      <a:off x="0" y="0"/>
                      <a:ext cx="5667375" cy="34290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8" w:name="季节11"/>
      <w:r>
        <w:rPr>
          <w:rFonts w:hint="eastAsia" w:ascii="黑体" w:hAnsi="黑体" w:eastAsia="黑体"/>
          <w:sz w:val="20"/>
          <w:szCs w:val="20"/>
        </w:rPr>
        <w:t>夏季</w:t>
      </w:r>
      <w:bookmarkEnd w:id="158"/>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59"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5#宿舍楼</w:t>
            </w:r>
          </w:p>
        </w:tc>
        <w:tc>
          <w:tcPr>
            <w:tcW w:w="1134" w:type="dxa"/>
            <w:shd w:val="clear" w:color="auto" w:fill="auto"/>
            <w:vAlign w:val="center"/>
          </w:tcPr>
          <w:p>
            <w:pPr>
              <w:jc w:val="center"/>
              <w:rPr>
                <w:lang w:val="en-US"/>
              </w:rPr>
            </w:pPr>
            <w:r>
              <w:rPr>
                <w:lang w:val="en-US"/>
              </w:rPr>
              <w:t>160</w:t>
            </w:r>
          </w:p>
        </w:tc>
        <w:tc>
          <w:tcPr>
            <w:tcW w:w="1984" w:type="dxa"/>
            <w:shd w:val="clear" w:color="auto" w:fill="auto"/>
            <w:vAlign w:val="center"/>
          </w:tcPr>
          <w:p>
            <w:pPr>
              <w:jc w:val="center"/>
              <w:rPr>
                <w:lang w:val="en-US"/>
              </w:rPr>
            </w:pPr>
            <w:r>
              <w:rPr>
                <w:lang w:val="en-US"/>
              </w:rPr>
              <w:t>137</w:t>
            </w:r>
          </w:p>
        </w:tc>
        <w:tc>
          <w:tcPr>
            <w:tcW w:w="1116" w:type="dxa"/>
            <w:shd w:val="clear" w:color="auto" w:fill="auto"/>
            <w:vAlign w:val="center"/>
          </w:tcPr>
          <w:p>
            <w:pPr>
              <w:jc w:val="center"/>
              <w:rPr>
                <w:lang w:val="en-US"/>
              </w:rPr>
            </w:pPr>
            <w:r>
              <w:rPr>
                <w:lang w:val="en-US"/>
              </w:rPr>
              <w:t>85.63</w:t>
            </w:r>
          </w:p>
        </w:tc>
        <w:tc>
          <w:tcPr>
            <w:tcW w:w="708" w:type="dxa"/>
            <w:shd w:val="clear" w:color="auto" w:fill="auto"/>
            <w:vAlign w:val="center"/>
          </w:tcPr>
          <w:p>
            <w:pPr>
              <w:jc w:val="center"/>
              <w:rPr>
                <w:lang w:val="en-US"/>
              </w:rPr>
            </w:pPr>
            <w:r>
              <w:rPr>
                <w:lang w:val="en-US"/>
              </w:rPr>
              <w:t>是</w:t>
            </w:r>
          </w:p>
        </w:tc>
      </w:tr>
      <w:bookmarkEnd w:id="159"/>
    </w:tbl>
    <w:p>
      <w:r>
        <w:rPr>
          <w:rFonts w:hint="eastAsia"/>
          <w:lang w:val="en-US"/>
        </w:rPr>
        <w:t>说明：达标比例＝（室内外风压差大于0.5Pa的总数/可开启外窗总数）*100％</w:t>
      </w:r>
    </w:p>
    <w:bookmarkEnd w:id="31"/>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bookmarkStart w:id="160" w:name="建筑室内外风压差达标判定"/>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&lt;未命名&gt;</w:t>
            </w:r>
          </w:p>
        </w:tc>
        <w:tc>
          <w:tcPr>
            <w:tcW w:w="1417" w:type="dxa"/>
            <w:vAlign w:val="center"/>
          </w:tcPr>
          <w:p>
            <w:pPr>
              <w:spacing w:line="360" w:lineRule="exact"/>
              <w:jc w:val="center"/>
              <w:rPr>
                <w:lang w:val="en-US"/>
              </w:rPr>
            </w:pPr>
            <w:r>
              <w:rPr>
                <w:lang w:val="en-US"/>
              </w:rPr>
              <w:t>1309.72</w:t>
            </w:r>
          </w:p>
        </w:tc>
        <w:tc>
          <w:tcPr>
            <w:tcW w:w="2552" w:type="dxa"/>
            <w:vAlign w:val="center"/>
          </w:tcPr>
          <w:p>
            <w:pPr>
              <w:spacing w:line="360" w:lineRule="exact"/>
              <w:jc w:val="center"/>
              <w:rPr>
                <w:lang w:val="en-US"/>
              </w:rPr>
            </w:pPr>
            <w:r>
              <w:rPr>
                <w:lang w:val="en-US"/>
              </w:rPr>
              <w:t>1086.75</w:t>
            </w:r>
          </w:p>
        </w:tc>
        <w:tc>
          <w:tcPr>
            <w:tcW w:w="1134" w:type="dxa"/>
            <w:vAlign w:val="center"/>
          </w:tcPr>
          <w:p>
            <w:pPr>
              <w:spacing w:line="360" w:lineRule="exact"/>
              <w:jc w:val="center"/>
              <w:rPr>
                <w:lang w:val="en-US"/>
              </w:rPr>
            </w:pPr>
            <w:r>
              <w:rPr>
                <w:lang w:val="en-US"/>
              </w:rPr>
              <w:t>82.98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1#宿舍楼</w:t>
            </w:r>
          </w:p>
        </w:tc>
        <w:tc>
          <w:tcPr>
            <w:tcW w:w="1417" w:type="dxa"/>
            <w:vAlign w:val="center"/>
          </w:tcPr>
          <w:p>
            <w:pPr>
              <w:spacing w:line="360" w:lineRule="exact"/>
              <w:jc w:val="center"/>
              <w:rPr>
                <w:lang w:val="en-US"/>
              </w:rPr>
            </w:pPr>
            <w:r>
              <w:rPr>
                <w:lang w:val="en-US"/>
              </w:rPr>
              <w:t>3774.05</w:t>
            </w:r>
          </w:p>
        </w:tc>
        <w:tc>
          <w:tcPr>
            <w:tcW w:w="2552" w:type="dxa"/>
            <w:vAlign w:val="center"/>
          </w:tcPr>
          <w:p>
            <w:pPr>
              <w:spacing w:line="360" w:lineRule="exact"/>
              <w:jc w:val="center"/>
              <w:rPr>
                <w:lang w:val="en-US"/>
              </w:rPr>
            </w:pPr>
            <w:r>
              <w:rPr>
                <w:lang w:val="en-US"/>
              </w:rPr>
              <w:t>3476.90</w:t>
            </w:r>
          </w:p>
        </w:tc>
        <w:tc>
          <w:tcPr>
            <w:tcW w:w="1134" w:type="dxa"/>
            <w:vAlign w:val="center"/>
          </w:tcPr>
          <w:p>
            <w:pPr>
              <w:spacing w:line="360" w:lineRule="exact"/>
              <w:jc w:val="center"/>
              <w:rPr>
                <w:lang w:val="en-US"/>
              </w:rPr>
            </w:pPr>
            <w:r>
              <w:rPr>
                <w:lang w:val="en-US"/>
              </w:rPr>
              <w:t>92.13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10#宿舍楼</w:t>
            </w:r>
          </w:p>
        </w:tc>
        <w:tc>
          <w:tcPr>
            <w:tcW w:w="1417" w:type="dxa"/>
            <w:vAlign w:val="center"/>
          </w:tcPr>
          <w:p>
            <w:pPr>
              <w:spacing w:line="360" w:lineRule="exact"/>
              <w:jc w:val="center"/>
              <w:rPr>
                <w:lang w:val="en-US"/>
              </w:rPr>
            </w:pPr>
            <w:r>
              <w:rPr>
                <w:lang w:val="en-US"/>
              </w:rPr>
              <w:t>1391.98</w:t>
            </w:r>
          </w:p>
        </w:tc>
        <w:tc>
          <w:tcPr>
            <w:tcW w:w="2552" w:type="dxa"/>
            <w:vAlign w:val="center"/>
          </w:tcPr>
          <w:p>
            <w:pPr>
              <w:spacing w:line="360" w:lineRule="exact"/>
              <w:jc w:val="center"/>
              <w:rPr>
                <w:lang w:val="en-US"/>
              </w:rPr>
            </w:pPr>
            <w:r>
              <w:rPr>
                <w:lang w:val="en-US"/>
              </w:rPr>
              <w:t>850.87</w:t>
            </w:r>
          </w:p>
        </w:tc>
        <w:tc>
          <w:tcPr>
            <w:tcW w:w="1134" w:type="dxa"/>
            <w:vAlign w:val="center"/>
          </w:tcPr>
          <w:p>
            <w:pPr>
              <w:spacing w:line="360" w:lineRule="exact"/>
              <w:jc w:val="center"/>
              <w:rPr>
                <w:lang w:val="en-US"/>
              </w:rPr>
            </w:pPr>
            <w:r>
              <w:rPr>
                <w:lang w:val="en-US"/>
              </w:rPr>
              <w:t>61.13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11#综合楼</w:t>
            </w:r>
          </w:p>
        </w:tc>
        <w:tc>
          <w:tcPr>
            <w:tcW w:w="1417" w:type="dxa"/>
            <w:vAlign w:val="center"/>
          </w:tcPr>
          <w:p>
            <w:pPr>
              <w:spacing w:line="360" w:lineRule="exact"/>
              <w:jc w:val="center"/>
              <w:rPr>
                <w:lang w:val="en-US"/>
              </w:rPr>
            </w:pPr>
            <w:r>
              <w:rPr>
                <w:lang w:val="en-US"/>
              </w:rPr>
              <w:t>794.21</w:t>
            </w:r>
          </w:p>
        </w:tc>
        <w:tc>
          <w:tcPr>
            <w:tcW w:w="2552" w:type="dxa"/>
            <w:vAlign w:val="center"/>
          </w:tcPr>
          <w:p>
            <w:pPr>
              <w:spacing w:line="360" w:lineRule="exact"/>
              <w:jc w:val="center"/>
              <w:rPr>
                <w:lang w:val="en-US"/>
              </w:rPr>
            </w:pPr>
            <w:r>
              <w:rPr>
                <w:lang w:val="en-US"/>
              </w:rPr>
              <w:t>273.51</w:t>
            </w:r>
          </w:p>
        </w:tc>
        <w:tc>
          <w:tcPr>
            <w:tcW w:w="1134" w:type="dxa"/>
            <w:vAlign w:val="center"/>
          </w:tcPr>
          <w:p>
            <w:pPr>
              <w:spacing w:line="360" w:lineRule="exact"/>
              <w:jc w:val="center"/>
              <w:rPr>
                <w:lang w:val="en-US"/>
              </w:rPr>
            </w:pPr>
            <w:r>
              <w:rPr>
                <w:lang w:val="en-US"/>
              </w:rPr>
              <w:t>34.44</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14#办公楼</w:t>
            </w:r>
          </w:p>
        </w:tc>
        <w:tc>
          <w:tcPr>
            <w:tcW w:w="1417" w:type="dxa"/>
            <w:vAlign w:val="center"/>
          </w:tcPr>
          <w:p>
            <w:pPr>
              <w:spacing w:line="360" w:lineRule="exact"/>
              <w:jc w:val="center"/>
              <w:rPr>
                <w:lang w:val="en-US"/>
              </w:rPr>
            </w:pPr>
            <w:r>
              <w:rPr>
                <w:lang w:val="en-US"/>
              </w:rPr>
              <w:t>2599.00</w:t>
            </w:r>
          </w:p>
        </w:tc>
        <w:tc>
          <w:tcPr>
            <w:tcW w:w="2552" w:type="dxa"/>
            <w:vAlign w:val="center"/>
          </w:tcPr>
          <w:p>
            <w:pPr>
              <w:spacing w:line="360" w:lineRule="exact"/>
              <w:jc w:val="center"/>
              <w:rPr>
                <w:lang w:val="en-US"/>
              </w:rPr>
            </w:pPr>
            <w:r>
              <w:rPr>
                <w:lang w:val="en-US"/>
              </w:rPr>
              <w:t>1959.39</w:t>
            </w:r>
          </w:p>
        </w:tc>
        <w:tc>
          <w:tcPr>
            <w:tcW w:w="1134" w:type="dxa"/>
            <w:vAlign w:val="center"/>
          </w:tcPr>
          <w:p>
            <w:pPr>
              <w:spacing w:line="360" w:lineRule="exact"/>
              <w:jc w:val="center"/>
              <w:rPr>
                <w:lang w:val="en-US"/>
              </w:rPr>
            </w:pPr>
            <w:r>
              <w:rPr>
                <w:lang w:val="en-US"/>
              </w:rPr>
              <w:t>75.39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15#实验楼</w:t>
            </w:r>
          </w:p>
        </w:tc>
        <w:tc>
          <w:tcPr>
            <w:tcW w:w="1417" w:type="dxa"/>
            <w:vAlign w:val="center"/>
          </w:tcPr>
          <w:p>
            <w:pPr>
              <w:spacing w:line="360" w:lineRule="exact"/>
              <w:jc w:val="center"/>
              <w:rPr>
                <w:lang w:val="en-US"/>
              </w:rPr>
            </w:pPr>
            <w:r>
              <w:rPr>
                <w:lang w:val="en-US"/>
              </w:rPr>
              <w:t>4092.30</w:t>
            </w:r>
          </w:p>
        </w:tc>
        <w:tc>
          <w:tcPr>
            <w:tcW w:w="2552" w:type="dxa"/>
            <w:vAlign w:val="center"/>
          </w:tcPr>
          <w:p>
            <w:pPr>
              <w:spacing w:line="360" w:lineRule="exact"/>
              <w:jc w:val="center"/>
              <w:rPr>
                <w:lang w:val="en-US"/>
              </w:rPr>
            </w:pPr>
            <w:r>
              <w:rPr>
                <w:lang w:val="en-US"/>
              </w:rPr>
              <w:t>3735.99</w:t>
            </w:r>
          </w:p>
        </w:tc>
        <w:tc>
          <w:tcPr>
            <w:tcW w:w="1134" w:type="dxa"/>
            <w:vAlign w:val="center"/>
          </w:tcPr>
          <w:p>
            <w:pPr>
              <w:spacing w:line="360" w:lineRule="exact"/>
              <w:jc w:val="center"/>
              <w:rPr>
                <w:lang w:val="en-US"/>
              </w:rPr>
            </w:pPr>
            <w:r>
              <w:rPr>
                <w:lang w:val="en-US"/>
              </w:rPr>
              <w:t>91.29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16#教学楼</w:t>
            </w:r>
          </w:p>
        </w:tc>
        <w:tc>
          <w:tcPr>
            <w:tcW w:w="1417" w:type="dxa"/>
            <w:vAlign w:val="center"/>
          </w:tcPr>
          <w:p>
            <w:pPr>
              <w:spacing w:line="360" w:lineRule="exact"/>
              <w:jc w:val="center"/>
              <w:rPr>
                <w:lang w:val="en-US"/>
              </w:rPr>
            </w:pPr>
            <w:r>
              <w:rPr>
                <w:lang w:val="en-US"/>
              </w:rPr>
              <w:t>3039.47</w:t>
            </w:r>
          </w:p>
        </w:tc>
        <w:tc>
          <w:tcPr>
            <w:tcW w:w="2552" w:type="dxa"/>
            <w:vAlign w:val="center"/>
          </w:tcPr>
          <w:p>
            <w:pPr>
              <w:spacing w:line="360" w:lineRule="exact"/>
              <w:jc w:val="center"/>
              <w:rPr>
                <w:lang w:val="en-US"/>
              </w:rPr>
            </w:pPr>
            <w:r>
              <w:rPr>
                <w:lang w:val="en-US"/>
              </w:rPr>
              <w:t>2946.55</w:t>
            </w:r>
          </w:p>
        </w:tc>
        <w:tc>
          <w:tcPr>
            <w:tcW w:w="1134" w:type="dxa"/>
            <w:vAlign w:val="center"/>
          </w:tcPr>
          <w:p>
            <w:pPr>
              <w:spacing w:line="360" w:lineRule="exact"/>
              <w:jc w:val="center"/>
              <w:rPr>
                <w:lang w:val="en-US"/>
              </w:rPr>
            </w:pPr>
            <w:r>
              <w:rPr>
                <w:lang w:val="en-US"/>
              </w:rPr>
              <w:t>96.94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17#综合楼</w:t>
            </w:r>
          </w:p>
        </w:tc>
        <w:tc>
          <w:tcPr>
            <w:tcW w:w="1417" w:type="dxa"/>
            <w:vAlign w:val="center"/>
          </w:tcPr>
          <w:p>
            <w:pPr>
              <w:spacing w:line="360" w:lineRule="exact"/>
              <w:jc w:val="center"/>
              <w:rPr>
                <w:lang w:val="en-US"/>
              </w:rPr>
            </w:pPr>
            <w:r>
              <w:rPr>
                <w:lang w:val="en-US"/>
              </w:rPr>
              <w:t>1413.78</w:t>
            </w:r>
          </w:p>
        </w:tc>
        <w:tc>
          <w:tcPr>
            <w:tcW w:w="2552" w:type="dxa"/>
            <w:vAlign w:val="center"/>
          </w:tcPr>
          <w:p>
            <w:pPr>
              <w:spacing w:line="360" w:lineRule="exact"/>
              <w:jc w:val="center"/>
              <w:rPr>
                <w:lang w:val="en-US"/>
              </w:rPr>
            </w:pPr>
            <w:r>
              <w:rPr>
                <w:lang w:val="en-US"/>
              </w:rPr>
              <w:t>879.73</w:t>
            </w:r>
          </w:p>
        </w:tc>
        <w:tc>
          <w:tcPr>
            <w:tcW w:w="1134" w:type="dxa"/>
            <w:vAlign w:val="center"/>
          </w:tcPr>
          <w:p>
            <w:pPr>
              <w:spacing w:line="360" w:lineRule="exact"/>
              <w:jc w:val="center"/>
              <w:rPr>
                <w:lang w:val="en-US"/>
              </w:rPr>
            </w:pPr>
            <w:r>
              <w:rPr>
                <w:lang w:val="en-US"/>
              </w:rPr>
              <w:t>62.23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2#宿舍楼</w:t>
            </w:r>
          </w:p>
        </w:tc>
        <w:tc>
          <w:tcPr>
            <w:tcW w:w="1417" w:type="dxa"/>
            <w:vAlign w:val="center"/>
          </w:tcPr>
          <w:p>
            <w:pPr>
              <w:spacing w:line="360" w:lineRule="exact"/>
              <w:jc w:val="center"/>
              <w:rPr>
                <w:lang w:val="en-US"/>
              </w:rPr>
            </w:pPr>
            <w:r>
              <w:rPr>
                <w:lang w:val="en-US"/>
              </w:rPr>
              <w:t>4249.11</w:t>
            </w:r>
          </w:p>
        </w:tc>
        <w:tc>
          <w:tcPr>
            <w:tcW w:w="2552" w:type="dxa"/>
            <w:vAlign w:val="center"/>
          </w:tcPr>
          <w:p>
            <w:pPr>
              <w:spacing w:line="360" w:lineRule="exact"/>
              <w:jc w:val="center"/>
              <w:rPr>
                <w:lang w:val="en-US"/>
              </w:rPr>
            </w:pPr>
            <w:r>
              <w:rPr>
                <w:lang w:val="en-US"/>
              </w:rPr>
              <w:t>2999.12</w:t>
            </w:r>
          </w:p>
        </w:tc>
        <w:tc>
          <w:tcPr>
            <w:tcW w:w="1134" w:type="dxa"/>
            <w:vAlign w:val="center"/>
          </w:tcPr>
          <w:p>
            <w:pPr>
              <w:spacing w:line="360" w:lineRule="exact"/>
              <w:jc w:val="center"/>
              <w:rPr>
                <w:lang w:val="en-US"/>
              </w:rPr>
            </w:pPr>
            <w:r>
              <w:rPr>
                <w:lang w:val="en-US"/>
              </w:rPr>
              <w:t>70.58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3#宿舍楼</w:t>
            </w:r>
          </w:p>
        </w:tc>
        <w:tc>
          <w:tcPr>
            <w:tcW w:w="1417" w:type="dxa"/>
            <w:vAlign w:val="center"/>
          </w:tcPr>
          <w:p>
            <w:pPr>
              <w:spacing w:line="360" w:lineRule="exact"/>
              <w:jc w:val="center"/>
              <w:rPr>
                <w:lang w:val="en-US"/>
              </w:rPr>
            </w:pPr>
            <w:r>
              <w:rPr>
                <w:lang w:val="en-US"/>
              </w:rPr>
              <w:t>3475.41</w:t>
            </w:r>
          </w:p>
        </w:tc>
        <w:tc>
          <w:tcPr>
            <w:tcW w:w="2552" w:type="dxa"/>
            <w:vAlign w:val="center"/>
          </w:tcPr>
          <w:p>
            <w:pPr>
              <w:spacing w:line="360" w:lineRule="exact"/>
              <w:jc w:val="center"/>
              <w:rPr>
                <w:lang w:val="en-US"/>
              </w:rPr>
            </w:pPr>
            <w:r>
              <w:rPr>
                <w:lang w:val="en-US"/>
              </w:rPr>
              <w:t>2899.39</w:t>
            </w:r>
          </w:p>
        </w:tc>
        <w:tc>
          <w:tcPr>
            <w:tcW w:w="1134" w:type="dxa"/>
            <w:vAlign w:val="center"/>
          </w:tcPr>
          <w:p>
            <w:pPr>
              <w:spacing w:line="360" w:lineRule="exact"/>
              <w:jc w:val="center"/>
              <w:rPr>
                <w:lang w:val="en-US"/>
              </w:rPr>
            </w:pPr>
            <w:r>
              <w:rPr>
                <w:lang w:val="en-US"/>
              </w:rPr>
              <w:t>83.43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4#宿舍楼</w:t>
            </w:r>
          </w:p>
        </w:tc>
        <w:tc>
          <w:tcPr>
            <w:tcW w:w="1417" w:type="dxa"/>
            <w:vAlign w:val="center"/>
          </w:tcPr>
          <w:p>
            <w:pPr>
              <w:spacing w:line="360" w:lineRule="exact"/>
              <w:jc w:val="center"/>
              <w:rPr>
                <w:lang w:val="en-US"/>
              </w:rPr>
            </w:pPr>
            <w:r>
              <w:rPr>
                <w:lang w:val="en-US"/>
              </w:rPr>
              <w:t>3456.59</w:t>
            </w:r>
          </w:p>
        </w:tc>
        <w:tc>
          <w:tcPr>
            <w:tcW w:w="2552" w:type="dxa"/>
            <w:vAlign w:val="center"/>
          </w:tcPr>
          <w:p>
            <w:pPr>
              <w:spacing w:line="360" w:lineRule="exact"/>
              <w:jc w:val="center"/>
              <w:rPr>
                <w:lang w:val="en-US"/>
              </w:rPr>
            </w:pPr>
            <w:r>
              <w:rPr>
                <w:lang w:val="en-US"/>
              </w:rPr>
              <w:t>3391.47</w:t>
            </w:r>
          </w:p>
        </w:tc>
        <w:tc>
          <w:tcPr>
            <w:tcW w:w="1134" w:type="dxa"/>
            <w:vAlign w:val="center"/>
          </w:tcPr>
          <w:p>
            <w:pPr>
              <w:spacing w:line="360" w:lineRule="exact"/>
              <w:jc w:val="center"/>
              <w:rPr>
                <w:lang w:val="en-US"/>
              </w:rPr>
            </w:pPr>
            <w:r>
              <w:rPr>
                <w:lang w:val="en-US"/>
              </w:rPr>
              <w:t>98.12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6#食堂</w:t>
            </w:r>
          </w:p>
        </w:tc>
        <w:tc>
          <w:tcPr>
            <w:tcW w:w="1417" w:type="dxa"/>
            <w:vAlign w:val="center"/>
          </w:tcPr>
          <w:p>
            <w:pPr>
              <w:spacing w:line="360" w:lineRule="exact"/>
              <w:jc w:val="center"/>
              <w:rPr>
                <w:lang w:val="en-US"/>
              </w:rPr>
            </w:pPr>
            <w:r>
              <w:rPr>
                <w:lang w:val="en-US"/>
              </w:rPr>
              <w:t>3044.38</w:t>
            </w:r>
          </w:p>
        </w:tc>
        <w:tc>
          <w:tcPr>
            <w:tcW w:w="2552" w:type="dxa"/>
            <w:vAlign w:val="center"/>
          </w:tcPr>
          <w:p>
            <w:pPr>
              <w:spacing w:line="360" w:lineRule="exact"/>
              <w:jc w:val="center"/>
              <w:rPr>
                <w:lang w:val="en-US"/>
              </w:rPr>
            </w:pPr>
            <w:r>
              <w:rPr>
                <w:lang w:val="en-US"/>
              </w:rPr>
              <w:t>613.22</w:t>
            </w:r>
          </w:p>
        </w:tc>
        <w:tc>
          <w:tcPr>
            <w:tcW w:w="1134" w:type="dxa"/>
            <w:vAlign w:val="center"/>
          </w:tcPr>
          <w:p>
            <w:pPr>
              <w:spacing w:line="360" w:lineRule="exact"/>
              <w:jc w:val="center"/>
              <w:rPr>
                <w:lang w:val="en-US"/>
              </w:rPr>
            </w:pPr>
            <w:r>
              <w:rPr>
                <w:lang w:val="en-US"/>
              </w:rPr>
              <w:t>20.14</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8#宿舍楼</w:t>
            </w:r>
          </w:p>
        </w:tc>
        <w:tc>
          <w:tcPr>
            <w:tcW w:w="1417" w:type="dxa"/>
            <w:vAlign w:val="center"/>
          </w:tcPr>
          <w:p>
            <w:pPr>
              <w:spacing w:line="360" w:lineRule="exact"/>
              <w:jc w:val="center"/>
              <w:rPr>
                <w:lang w:val="en-US"/>
              </w:rPr>
            </w:pPr>
            <w:r>
              <w:rPr>
                <w:lang w:val="en-US"/>
              </w:rPr>
              <w:t>1900.53</w:t>
            </w:r>
          </w:p>
        </w:tc>
        <w:tc>
          <w:tcPr>
            <w:tcW w:w="2552" w:type="dxa"/>
            <w:vAlign w:val="center"/>
          </w:tcPr>
          <w:p>
            <w:pPr>
              <w:spacing w:line="360" w:lineRule="exact"/>
              <w:jc w:val="center"/>
              <w:rPr>
                <w:lang w:val="en-US"/>
              </w:rPr>
            </w:pPr>
            <w:r>
              <w:rPr>
                <w:lang w:val="en-US"/>
              </w:rPr>
              <w:t>1479.36</w:t>
            </w:r>
          </w:p>
        </w:tc>
        <w:tc>
          <w:tcPr>
            <w:tcW w:w="1134" w:type="dxa"/>
            <w:vAlign w:val="center"/>
          </w:tcPr>
          <w:p>
            <w:pPr>
              <w:spacing w:line="360" w:lineRule="exact"/>
              <w:jc w:val="center"/>
              <w:rPr>
                <w:lang w:val="en-US"/>
              </w:rPr>
            </w:pPr>
            <w:r>
              <w:rPr>
                <w:lang w:val="en-US"/>
              </w:rPr>
              <w:t>77.84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9#教学楼</w:t>
            </w:r>
          </w:p>
        </w:tc>
        <w:tc>
          <w:tcPr>
            <w:tcW w:w="1417" w:type="dxa"/>
            <w:vAlign w:val="center"/>
          </w:tcPr>
          <w:p>
            <w:pPr>
              <w:spacing w:line="360" w:lineRule="exact"/>
              <w:jc w:val="center"/>
              <w:rPr>
                <w:lang w:val="en-US"/>
              </w:rPr>
            </w:pPr>
            <w:r>
              <w:rPr>
                <w:lang w:val="en-US"/>
              </w:rPr>
              <w:t>2861.83</w:t>
            </w:r>
          </w:p>
        </w:tc>
        <w:tc>
          <w:tcPr>
            <w:tcW w:w="2552" w:type="dxa"/>
            <w:vAlign w:val="center"/>
          </w:tcPr>
          <w:p>
            <w:pPr>
              <w:spacing w:line="360" w:lineRule="exact"/>
              <w:jc w:val="center"/>
              <w:rPr>
                <w:lang w:val="en-US"/>
              </w:rPr>
            </w:pPr>
            <w:r>
              <w:rPr>
                <w:lang w:val="en-US"/>
              </w:rPr>
              <w:t>1775.60</w:t>
            </w:r>
          </w:p>
        </w:tc>
        <w:tc>
          <w:tcPr>
            <w:tcW w:w="1134" w:type="dxa"/>
            <w:vAlign w:val="center"/>
          </w:tcPr>
          <w:p>
            <w:pPr>
              <w:spacing w:line="360" w:lineRule="exact"/>
              <w:jc w:val="center"/>
              <w:rPr>
                <w:lang w:val="en-US"/>
              </w:rPr>
            </w:pPr>
            <w:r>
              <w:rPr>
                <w:lang w:val="en-US"/>
              </w:rPr>
              <w:t>62.04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公共卫生间</w:t>
            </w:r>
          </w:p>
        </w:tc>
        <w:tc>
          <w:tcPr>
            <w:tcW w:w="1417" w:type="dxa"/>
            <w:vAlign w:val="center"/>
          </w:tcPr>
          <w:p>
            <w:pPr>
              <w:spacing w:line="360" w:lineRule="exact"/>
              <w:jc w:val="center"/>
              <w:rPr>
                <w:lang w:val="en-US"/>
              </w:rPr>
            </w:pPr>
            <w:r>
              <w:rPr>
                <w:lang w:val="en-US"/>
              </w:rPr>
              <w:t>330.24</w:t>
            </w:r>
          </w:p>
        </w:tc>
        <w:tc>
          <w:tcPr>
            <w:tcW w:w="2552" w:type="dxa"/>
            <w:vAlign w:val="center"/>
          </w:tcPr>
          <w:p>
            <w:pPr>
              <w:spacing w:line="360" w:lineRule="exact"/>
              <w:jc w:val="center"/>
              <w:rPr>
                <w:lang w:val="en-US"/>
              </w:rPr>
            </w:pPr>
            <w:r>
              <w:rPr>
                <w:lang w:val="en-US"/>
              </w:rPr>
              <w:t>330.24</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bookmarkEnd w:id="160"/>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32"/>
    </w:p>
    <w:p>
      <w:pPr>
        <w:rPr>
          <w:lang w:val="en-US"/>
        </w:rPr>
      </w:pPr>
      <w:bookmarkStart w:id="161" w:name="建筑室内外风压差达标判定结论"/>
      <w:r>
        <w:rPr>
          <w:rFonts w:hint="eastAsia"/>
          <w:lang w:val="en-US"/>
        </w:rPr>
        <w:t>结论：本项目中11#综合楼、6#食堂建筑未满足“50%以上可开启外窗室内外表面的风压差大于0.5Pa”的要求，该条不得分。</w:t>
      </w:r>
      <w:bookmarkEnd w:id="161"/>
      <w:r>
        <w:rPr>
          <w:rFonts w:hint="eastAsia"/>
          <w:lang w:val="en-US"/>
        </w:rPr>
        <w:t xml:space="preserve"> </w:t>
      </w:r>
    </w:p>
    <w:p>
      <w:pPr>
        <w:rPr>
          <w:lang w:val="en-US"/>
        </w:rPr>
      </w:pPr>
      <w:bookmarkStart w:id="162" w:name="其他工况"/>
      <w:bookmarkEnd w:id="162"/>
      <w:r>
        <w:rPr>
          <w:rFonts w:hint="eastAsia"/>
          <w:lang w:val="en-US"/>
        </w:rPr>
        <w:t xml:space="preserve"> </w:t>
      </w:r>
    </w:p>
    <w:p>
      <w:pPr>
        <w:pStyle w:val="4"/>
      </w:pPr>
      <w:bookmarkStart w:id="163" w:name="_Toc509844764"/>
      <w:bookmarkStart w:id="164" w:name="_Toc2299"/>
      <w:r>
        <w:rPr>
          <w:rFonts w:hint="eastAsia"/>
        </w:rPr>
        <w:t>结论</w:t>
      </w:r>
      <w:bookmarkEnd w:id="163"/>
      <w:bookmarkEnd w:id="164"/>
    </w:p>
    <w:p>
      <w:pPr>
        <w:pStyle w:val="5"/>
      </w:pPr>
      <w:bookmarkStart w:id="165" w:name="_Toc13461"/>
      <w:bookmarkStart w:id="166" w:name="_Toc509844765"/>
      <w:r>
        <w:rPr>
          <w:rFonts w:hint="eastAsia"/>
        </w:rPr>
        <w:t>冬季工况达标判断</w:t>
      </w:r>
      <w:bookmarkEnd w:id="165"/>
      <w:bookmarkEnd w:id="166"/>
      <w:bookmarkStart w:id="167" w:name="_Toc509844766"/>
      <w:bookmarkEnd w:id="16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68" w:name="标准要求冬季风速得分"/>
            <w:r>
              <w:rPr>
                <w:rFonts w:hint="eastAsia"/>
                <w:lang w:val="en-US"/>
              </w:rPr>
              <w:t>3</w:t>
            </w:r>
            <w:bookmarkEnd w:id="168"/>
            <w:r>
              <w:rPr>
                <w:rFonts w:hint="eastAsia"/>
                <w:lang w:val="en-US"/>
              </w:rPr>
              <w:t>分；</w:t>
            </w:r>
          </w:p>
        </w:tc>
        <w:tc>
          <w:tcPr>
            <w:tcW w:w="1985" w:type="dxa"/>
            <w:tcBorders>
              <w:top w:val="single" w:color="auto" w:sz="4" w:space="0"/>
            </w:tcBorders>
            <w:shd w:val="clear" w:color="auto" w:fill="auto"/>
            <w:vAlign w:val="center"/>
          </w:tcPr>
          <w:p>
            <w:pPr>
              <w:jc w:val="center"/>
              <w:rPr>
                <w:lang w:val="en-US"/>
              </w:rPr>
            </w:pPr>
            <w:bookmarkStart w:id="169" w:name="冬季风速结果所有文字"/>
            <w:r>
              <w:rPr>
                <w:rFonts w:hint="eastAsia"/>
                <w:lang w:val="en-US"/>
              </w:rPr>
              <w:t>人行区</w:t>
            </w:r>
            <w:bookmarkStart w:id="170" w:name="冬季风速结果"/>
            <w:r>
              <w:t>没有出现</w:t>
            </w:r>
            <w:bookmarkEnd w:id="170"/>
            <w:r>
              <w:rPr>
                <w:rFonts w:hint="eastAsia"/>
                <w:lang w:val="en-US"/>
              </w:rPr>
              <w:t>风速大于</w:t>
            </w:r>
            <w:r>
              <w:rPr>
                <w:lang w:val="en-US"/>
              </w:rPr>
              <w:t>5m/s</w:t>
            </w:r>
            <w:r>
              <w:rPr>
                <w:rFonts w:hint="eastAsia"/>
                <w:lang w:val="en-US"/>
              </w:rPr>
              <w:t>的区域，户外休息区、儿童娱乐区</w:t>
            </w:r>
            <w:bookmarkStart w:id="171" w:name="冬季风速结果2"/>
            <w:r>
              <w:t>没有出现</w:t>
            </w:r>
            <w:bookmarkEnd w:id="171"/>
            <w:r>
              <w:rPr>
                <w:rFonts w:hint="eastAsia"/>
                <w:lang w:val="en-US"/>
              </w:rPr>
              <w:t>风速大于2m/s的区域</w:t>
            </w:r>
            <w:bookmarkEnd w:id="169"/>
          </w:p>
        </w:tc>
        <w:tc>
          <w:tcPr>
            <w:tcW w:w="1985" w:type="dxa"/>
            <w:vMerge w:val="restart"/>
            <w:tcBorders>
              <w:top w:val="single" w:color="auto" w:sz="4" w:space="0"/>
            </w:tcBorders>
            <w:shd w:val="clear" w:color="auto" w:fill="auto"/>
            <w:vAlign w:val="center"/>
          </w:tcPr>
          <w:p>
            <w:pPr>
              <w:jc w:val="center"/>
              <w:rPr>
                <w:b/>
                <w:lang w:val="en-US"/>
              </w:rPr>
            </w:pPr>
            <w:bookmarkStart w:id="172" w:name="冬季风速达标判定"/>
            <w:r>
              <w:rPr>
                <w:rFonts w:hint="eastAsia"/>
                <w:b/>
                <w:lang w:val="en-US"/>
              </w:rPr>
              <w:t>达标</w:t>
            </w:r>
            <w:bookmarkEnd w:id="172"/>
          </w:p>
        </w:tc>
        <w:tc>
          <w:tcPr>
            <w:tcW w:w="1416" w:type="dxa"/>
            <w:vMerge w:val="restart"/>
            <w:tcBorders>
              <w:top w:val="single" w:color="auto" w:sz="4" w:space="0"/>
            </w:tcBorders>
            <w:shd w:val="clear" w:color="auto" w:fill="auto"/>
            <w:vAlign w:val="center"/>
          </w:tcPr>
          <w:p>
            <w:pPr>
              <w:jc w:val="center"/>
              <w:rPr>
                <w:lang w:val="en-US"/>
              </w:rPr>
            </w:pPr>
            <w:bookmarkStart w:id="173" w:name="冬季风速得分"/>
            <w:r>
              <w:rPr>
                <w:rFonts w:hint="eastAsia"/>
                <w:lang w:val="en-US"/>
              </w:rPr>
              <w:t>3</w:t>
            </w:r>
            <w:bookmarkEnd w:id="173"/>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bookmarkStart w:id="174" w:name="冬季风速放大系数结果所有文字"/>
            <w:r>
              <w:rPr>
                <w:rFonts w:hint="eastAsia"/>
                <w:lang w:val="en-US"/>
              </w:rPr>
              <w:t>人行区</w:t>
            </w:r>
            <w:bookmarkStart w:id="175" w:name="冬季风速放大系数结果人行区"/>
            <w:bookmarkEnd w:id="175"/>
            <w:r>
              <w:rPr>
                <w:rFonts w:hint="eastAsia"/>
                <w:lang w:val="en-US"/>
              </w:rPr>
              <w:t>、户外休息区</w:t>
            </w:r>
            <w:r>
              <w:rPr>
                <w:lang w:val="en-US"/>
              </w:rPr>
              <w:t>、</w:t>
            </w:r>
            <w:r>
              <w:rPr>
                <w:rFonts w:hint="eastAsia"/>
                <w:lang w:val="en-US"/>
              </w:rPr>
              <w:t>儿童娱乐区</w:t>
            </w:r>
            <w:bookmarkStart w:id="176" w:name="冬季风速放大系数结果休息区"/>
            <w:r>
              <w:t>没有出现</w:t>
            </w:r>
            <w:bookmarkEnd w:id="176"/>
            <w:r>
              <w:rPr>
                <w:rFonts w:hint="eastAsia"/>
                <w:lang w:val="en-US"/>
              </w:rPr>
              <w:t>风速放大系数大于等于2的区域</w:t>
            </w:r>
            <w:bookmarkEnd w:id="174"/>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77" w:name="标准要求冬季风压得分"/>
            <w:r>
              <w:rPr>
                <w:rFonts w:hint="eastAsia"/>
                <w:lang w:val="en-US"/>
              </w:rPr>
              <w:t>2</w:t>
            </w:r>
            <w:bookmarkEnd w:id="177"/>
            <w:r>
              <w:rPr>
                <w:rFonts w:hint="eastAsia"/>
                <w:lang w:val="en-US"/>
              </w:rPr>
              <w:t>分</w:t>
            </w:r>
          </w:p>
        </w:tc>
        <w:tc>
          <w:tcPr>
            <w:tcW w:w="1985" w:type="dxa"/>
            <w:shd w:val="clear" w:color="auto" w:fill="auto"/>
            <w:vAlign w:val="center"/>
          </w:tcPr>
          <w:p>
            <w:pPr>
              <w:jc w:val="center"/>
              <w:rPr>
                <w:lang w:val="en-US"/>
              </w:rPr>
            </w:pPr>
            <w:r>
              <w:rPr>
                <w:rFonts w:hint="eastAsia"/>
                <w:lang w:val="en-US"/>
              </w:rPr>
              <w:t>本项目</w:t>
            </w:r>
            <w:bookmarkStart w:id="178" w:name="冬季迎背风面结果"/>
            <w:r>
              <w:t>没有出现</w:t>
            </w:r>
            <w:bookmarkEnd w:id="178"/>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79" w:name="冬季迎背风面达标判定"/>
            <w:r>
              <w:rPr>
                <w:rFonts w:hint="eastAsia"/>
                <w:b/>
                <w:lang w:val="en-US"/>
              </w:rPr>
              <w:t>达标</w:t>
            </w:r>
            <w:bookmarkEnd w:id="179"/>
          </w:p>
        </w:tc>
        <w:tc>
          <w:tcPr>
            <w:tcW w:w="1416" w:type="dxa"/>
            <w:shd w:val="clear" w:color="auto" w:fill="auto"/>
            <w:vAlign w:val="center"/>
          </w:tcPr>
          <w:p>
            <w:pPr>
              <w:jc w:val="center"/>
              <w:rPr>
                <w:lang w:val="en-US"/>
              </w:rPr>
            </w:pPr>
            <w:bookmarkStart w:id="180" w:name="冬季迎背风面得分"/>
            <w:r>
              <w:rPr>
                <w:rFonts w:hint="eastAsia"/>
                <w:lang w:val="en-US"/>
              </w:rPr>
              <w:t>2</w:t>
            </w:r>
            <w:bookmarkEnd w:id="180"/>
            <w:r>
              <w:rPr>
                <w:rFonts w:hint="eastAsia"/>
                <w:lang w:val="en-US"/>
              </w:rPr>
              <w:t>分</w:t>
            </w:r>
          </w:p>
        </w:tc>
      </w:tr>
    </w:tbl>
    <w:p>
      <w:pPr>
        <w:rPr>
          <w:szCs w:val="21"/>
          <w:lang w:val="en-US"/>
        </w:rPr>
      </w:pPr>
      <w:bookmarkStart w:id="181" w:name="_Toc509844767"/>
      <w:bookmarkEnd w:id="181"/>
      <w:bookmarkStart w:id="182" w:name="_Toc509844768"/>
      <w:bookmarkEnd w:id="182"/>
    </w:p>
    <w:bookmarkEnd w:id="0"/>
    <w:bookmarkEnd w:id="1"/>
    <w:p>
      <w:pPr>
        <w:pStyle w:val="5"/>
      </w:pPr>
      <w:bookmarkStart w:id="183" w:name="_Toc10837"/>
      <w:bookmarkStart w:id="184" w:name="_Toc509844769"/>
      <w:r>
        <w:rPr>
          <w:rFonts w:hint="eastAsia"/>
        </w:rPr>
        <w:t>过渡季、夏季工况达标判断</w:t>
      </w:r>
      <w:bookmarkEnd w:id="183"/>
      <w:bookmarkEnd w:id="184"/>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85" w:name="标准要求夏季风速得分"/>
            <w:r>
              <w:rPr>
                <w:rFonts w:hint="eastAsia"/>
                <w:lang w:val="en-US"/>
              </w:rPr>
              <w:t>3</w:t>
            </w:r>
            <w:bookmarkEnd w:id="185"/>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pPr>
              <w:jc w:val="center"/>
              <w:rPr>
                <w:lang w:val="en-US"/>
              </w:rPr>
            </w:pPr>
            <w:bookmarkStart w:id="186" w:name="夏季无风区结果人活动区文字"/>
            <w:r>
              <w:rPr>
                <w:rFonts w:hint="eastAsia"/>
                <w:lang w:val="en-US"/>
              </w:rPr>
              <w:t>人活动区</w:t>
            </w:r>
            <w:bookmarkStart w:id="187" w:name="夏季无风区结果"/>
            <w:r>
              <w:t>没有</w:t>
            </w:r>
            <w:bookmarkEnd w:id="186"/>
            <w:bookmarkEnd w:id="187"/>
            <w:r>
              <w:rPr>
                <w:rFonts w:hint="eastAsia"/>
                <w:lang w:val="en-US"/>
              </w:rPr>
              <w:t>无风区</w:t>
            </w:r>
          </w:p>
        </w:tc>
        <w:tc>
          <w:tcPr>
            <w:tcW w:w="1844" w:type="dxa"/>
            <w:vMerge w:val="restart"/>
            <w:tcBorders>
              <w:top w:val="single" w:color="auto" w:sz="4" w:space="0"/>
            </w:tcBorders>
            <w:shd w:val="clear" w:color="auto" w:fill="auto"/>
            <w:vAlign w:val="center"/>
          </w:tcPr>
          <w:p>
            <w:pPr>
              <w:jc w:val="center"/>
              <w:rPr>
                <w:lang w:val="en-US"/>
              </w:rPr>
            </w:pPr>
            <w:bookmarkStart w:id="188" w:name="夏季无风区达标判定"/>
            <w:r>
              <w:rPr>
                <w:rFonts w:hint="eastAsia"/>
                <w:b/>
                <w:lang w:val="en-US"/>
              </w:rPr>
              <w:t>达标</w:t>
            </w:r>
            <w:bookmarkEnd w:id="188"/>
          </w:p>
        </w:tc>
        <w:tc>
          <w:tcPr>
            <w:tcW w:w="1416" w:type="dxa"/>
            <w:vMerge w:val="restart"/>
            <w:tcBorders>
              <w:top w:val="single" w:color="auto" w:sz="4" w:space="0"/>
            </w:tcBorders>
            <w:shd w:val="clear" w:color="auto" w:fill="auto"/>
            <w:vAlign w:val="center"/>
          </w:tcPr>
          <w:p>
            <w:pPr>
              <w:jc w:val="center"/>
              <w:rPr>
                <w:lang w:val="en-US"/>
              </w:rPr>
            </w:pPr>
            <w:bookmarkStart w:id="189" w:name="夏季无风区得分"/>
            <w:r>
              <w:rPr>
                <w:rFonts w:hint="eastAsia"/>
                <w:lang w:val="en-US"/>
              </w:rPr>
              <w:t>3</w:t>
            </w:r>
            <w:bookmarkEnd w:id="189"/>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2126" w:type="dxa"/>
            <w:shd w:val="clear" w:color="auto" w:fill="auto"/>
            <w:vAlign w:val="center"/>
          </w:tcPr>
          <w:p>
            <w:pPr>
              <w:jc w:val="center"/>
              <w:rPr>
                <w:lang w:val="en-US"/>
              </w:rPr>
            </w:pPr>
            <w:bookmarkStart w:id="190" w:name="夏季旋涡区结果人活动区文字"/>
            <w:r>
              <w:rPr>
                <w:rFonts w:hint="eastAsia"/>
                <w:lang w:val="en-US"/>
              </w:rPr>
              <w:t>人活动区</w:t>
            </w:r>
            <w:bookmarkEnd w:id="190"/>
            <w:r>
              <w:rPr>
                <w:rFonts w:hint="eastAsia"/>
                <w:lang w:val="en-US"/>
              </w:rPr>
              <w:t>没有旋涡区</w:t>
            </w:r>
          </w:p>
        </w:tc>
        <w:tc>
          <w:tcPr>
            <w:tcW w:w="1844"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91" w:name="标准要求夏季风压得分"/>
            <w:r>
              <w:rPr>
                <w:rFonts w:hint="eastAsia"/>
                <w:lang w:val="en-US"/>
              </w:rPr>
              <w:t>2</w:t>
            </w:r>
            <w:bookmarkEnd w:id="191"/>
            <w:r>
              <w:rPr>
                <w:rFonts w:hint="eastAsia"/>
                <w:lang w:val="en-US"/>
              </w:rPr>
              <w:t>分。</w:t>
            </w:r>
          </w:p>
        </w:tc>
        <w:tc>
          <w:tcPr>
            <w:tcW w:w="2126" w:type="dxa"/>
            <w:shd w:val="clear" w:color="auto" w:fill="auto"/>
            <w:vAlign w:val="center"/>
          </w:tcPr>
          <w:p>
            <w:pPr>
              <w:jc w:val="center"/>
              <w:rPr>
                <w:lang w:val="en-US"/>
              </w:rPr>
            </w:pPr>
            <w:r>
              <w:rPr>
                <w:rFonts w:hint="eastAsia"/>
                <w:b/>
                <w:lang w:val="en-US"/>
              </w:rPr>
              <w:t>可开启外窗室内外表面的风压差</w:t>
            </w:r>
            <w:bookmarkStart w:id="192" w:name="夏季窗内外风压差结果"/>
            <w:r>
              <w:rPr>
                <w:rFonts w:hint="eastAsia"/>
                <w:color w:val="FF0000"/>
                <w:lang w:val="en-US"/>
              </w:rPr>
              <w:t>不满足</w:t>
            </w:r>
            <w:bookmarkEnd w:id="192"/>
            <w:r>
              <w:rPr>
                <w:rFonts w:hint="eastAsia"/>
                <w:lang w:val="en-US"/>
              </w:rPr>
              <w:t>标准要求</w:t>
            </w:r>
          </w:p>
        </w:tc>
        <w:tc>
          <w:tcPr>
            <w:tcW w:w="1844" w:type="dxa"/>
            <w:shd w:val="clear" w:color="auto" w:fill="auto"/>
            <w:vAlign w:val="center"/>
          </w:tcPr>
          <w:p>
            <w:pPr>
              <w:jc w:val="center"/>
              <w:rPr>
                <w:b/>
                <w:lang w:val="en-US"/>
              </w:rPr>
            </w:pPr>
            <w:bookmarkStart w:id="193" w:name="夏季窗内外风压差达标判定"/>
            <w:r>
              <w:rPr>
                <w:rFonts w:hint="eastAsia"/>
                <w:b/>
                <w:color w:val="FF0000"/>
                <w:lang w:val="en-US"/>
              </w:rPr>
              <w:t>不达标</w:t>
            </w:r>
            <w:bookmarkEnd w:id="193"/>
          </w:p>
        </w:tc>
        <w:tc>
          <w:tcPr>
            <w:tcW w:w="1416" w:type="dxa"/>
            <w:shd w:val="clear" w:color="auto" w:fill="auto"/>
            <w:vAlign w:val="center"/>
          </w:tcPr>
          <w:p>
            <w:pPr>
              <w:jc w:val="center"/>
              <w:rPr>
                <w:lang w:val="en-US"/>
              </w:rPr>
            </w:pPr>
            <w:bookmarkStart w:id="194" w:name="夏季窗内外风压差得分"/>
            <w:r>
              <w:rPr>
                <w:rFonts w:hint="eastAsia"/>
                <w:lang w:val="en-US"/>
              </w:rPr>
              <w:t>0</w:t>
            </w:r>
            <w:bookmarkEnd w:id="194"/>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95" w:name="总得分"/>
      <w:r>
        <w:rPr>
          <w:rFonts w:hint="eastAsia"/>
          <w:lang w:val="en-US"/>
        </w:rPr>
        <w:t>8</w:t>
      </w:r>
      <w:bookmarkEnd w:id="195"/>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ENT2023</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ZWM4ZTExOWNlMTYwMjdiZWM5ZTUxOWY5MDVmZWQzNzkifQ=="/>
  </w:docVars>
  <w:rsids>
    <w:rsidRoot w:val="00217F62"/>
    <w:rsid w:val="001915A3"/>
    <w:rsid w:val="00217F62"/>
    <w:rsid w:val="00A906D8"/>
    <w:rsid w:val="00AB5A74"/>
    <w:rsid w:val="00F071AE"/>
    <w:rsid w:val="187F6726"/>
    <w:rsid w:val="40AA4410"/>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qFormat/>
    <w:uiPriority w:val="0"/>
    <w:rPr>
      <w:rFonts w:ascii="宋体" w:cs="Arial"/>
      <w:b/>
      <w:bCs/>
      <w:iCs/>
      <w:color w:val="000000"/>
      <w:sz w:val="24"/>
      <w:szCs w:val="24"/>
    </w:rPr>
  </w:style>
  <w:style w:type="character" w:customStyle="1" w:styleId="29">
    <w:name w:val="页脚 Char"/>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qFormat/>
    <w:uiPriority w:val="0"/>
    <w:rPr>
      <w:rFonts w:ascii="宋体" w:hAnsi="宋体" w:cs="Arial"/>
      <w:b/>
      <w:bCs/>
      <w:sz w:val="21"/>
      <w:szCs w:val="21"/>
    </w:rPr>
  </w:style>
  <w:style w:type="character" w:customStyle="1" w:styleId="34">
    <w:name w:val="批注框文本 Char"/>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qFormat/>
    <w:uiPriority w:val="0"/>
    <w:rPr>
      <w:b/>
      <w:bCs/>
      <w:sz w:val="21"/>
      <w:szCs w:val="28"/>
      <w:lang w:val="en-GB"/>
    </w:rPr>
  </w:style>
  <w:style w:type="character" w:customStyle="1" w:styleId="38">
    <w:name w:val="标题 5 Char"/>
    <w:link w:val="7"/>
    <w:qFormat/>
    <w:uiPriority w:val="0"/>
    <w:rPr>
      <w:b/>
      <w:bCs/>
      <w:iCs/>
      <w:sz w:val="21"/>
      <w:szCs w:val="26"/>
      <w:lang w:val="en-GB"/>
    </w:rPr>
  </w:style>
  <w:style w:type="character" w:customStyle="1" w:styleId="39">
    <w:name w:val="标题 6 Char"/>
    <w:link w:val="8"/>
    <w:qFormat/>
    <w:uiPriority w:val="0"/>
    <w:rPr>
      <w:b/>
      <w:bCs/>
      <w:sz w:val="21"/>
      <w:szCs w:val="22"/>
      <w:lang w:val="en-GB"/>
    </w:rPr>
  </w:style>
  <w:style w:type="character" w:customStyle="1" w:styleId="40">
    <w:name w:val="标题 7 Char"/>
    <w:link w:val="9"/>
    <w:qFormat/>
    <w:uiPriority w:val="0"/>
    <w:rPr>
      <w:sz w:val="24"/>
      <w:szCs w:val="24"/>
      <w:lang w:val="en-GB"/>
    </w:rPr>
  </w:style>
  <w:style w:type="character" w:customStyle="1" w:styleId="41">
    <w:name w:val="标题 8 Char"/>
    <w:link w:val="10"/>
    <w:qFormat/>
    <w:uiPriority w:val="0"/>
    <w:rPr>
      <w:i/>
      <w:iCs/>
      <w:sz w:val="24"/>
      <w:szCs w:val="24"/>
      <w:lang w:val="en-GB"/>
    </w:rPr>
  </w:style>
  <w:style w:type="character" w:customStyle="1" w:styleId="42">
    <w:name w:val="标题 9 Char"/>
    <w:link w:val="11"/>
    <w:qFormat/>
    <w:uiPriority w:val="0"/>
    <w:rPr>
      <w:rFonts w:ascii="Arial" w:hAnsi="Arial" w:cs="Arial"/>
      <w:sz w:val="22"/>
      <w:szCs w:val="22"/>
      <w:lang w:val="en-GB"/>
    </w:rPr>
  </w:style>
  <w:style w:type="character" w:customStyle="1" w:styleId="43">
    <w:name w:val="页眉 Char"/>
    <w:link w:val="18"/>
    <w:qFormat/>
    <w:uiPriority w:val="0"/>
    <w:rPr>
      <w:sz w:val="21"/>
      <w:szCs w:val="18"/>
      <w:lang w:val="en-GB"/>
    </w:rPr>
  </w:style>
  <w:style w:type="character" w:customStyle="1" w:styleId="44">
    <w:name w:val="文档结构图 Char"/>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B5A5A-A15E-4891-83EF-ED935B9A5C06}">
  <ds:schemaRefs/>
</ds:datastoreItem>
</file>

<file path=docProps/app.xml><?xml version="1.0" encoding="utf-8"?>
<Properties xmlns="http://schemas.openxmlformats.org/officeDocument/2006/extended-properties" xmlns:vt="http://schemas.openxmlformats.org/officeDocument/2006/docPropsVTypes">
  <Template>国标2019室外风环境模拟分析报告.dotx</Template>
  <Company>ths</Company>
  <Pages>12</Pages>
  <Words>873</Words>
  <Characters>4981</Characters>
  <Lines>41</Lines>
  <Paragraphs>11</Paragraphs>
  <TotalTime>0</TotalTime>
  <ScaleCrop>false</ScaleCrop>
  <LinksUpToDate>false</LinksUpToDate>
  <CharactersWithSpaces>5843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2021-01-26T08:44:00Z</dcterms:created>
  <dc:creator>sware</dc:creator>
  <cp:lastModifiedBy>二玲</cp:lastModifiedBy>
  <cp:lastPrinted>1900-12-31T16:00:00Z</cp:lastPrinted>
  <dcterms:modified xsi:type="dcterms:W3CDTF">2023-11-20T08:54:53Z</dcterms:modified>
  <dc:title>室外风环境模拟分析报告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E3A03D36714144FD983C4C1BED827384_12</vt:lpwstr>
  </property>
</Properties>
</file>