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新乐市第四中学改扩建项目-5#宿舍楼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河北省新乐市第四中学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北京清大原点建筑设计有限公司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r>
              <w:rPr>
                <w:rFonts w:hint="eastAsia"/>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r>
              <w:rPr>
                <w:rFonts w:hint="eastAsia"/>
              </w:rPr>
              <w:t>何玉来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r>
              <w:rPr>
                <w:rFonts w:hint="eastAsia"/>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2023年11月16日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T15803317572</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_Toc26915 </w:instrText>
      </w:r>
      <w:r>
        <w:rPr>
          <w:rFonts w:ascii="宋体" w:hAnsi="宋体"/>
          <w:caps/>
        </w:rPr>
        <w:fldChar w:fldCharType="separate"/>
      </w:r>
      <w:r>
        <w:t xml:space="preserve">1 </w:t>
      </w:r>
      <w:r>
        <w:rPr>
          <w:rFonts w:hint="eastAsia"/>
        </w:rPr>
        <w:t>建筑概况</w:t>
      </w:r>
      <w:r>
        <w:tab/>
      </w:r>
      <w:r>
        <w:fldChar w:fldCharType="begin"/>
      </w:r>
      <w:r>
        <w:instrText xml:space="preserve"> PAGEREF _Toc26915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_Toc12866 </w:instrText>
      </w:r>
      <w:r>
        <w:fldChar w:fldCharType="separate"/>
      </w:r>
      <w:r>
        <w:t xml:space="preserve">2 </w:t>
      </w:r>
      <w:r>
        <w:rPr>
          <w:rFonts w:hint="eastAsia"/>
        </w:rPr>
        <w:t>评价依据</w:t>
      </w:r>
      <w:r>
        <w:tab/>
      </w:r>
      <w:r>
        <w:fldChar w:fldCharType="begin"/>
      </w:r>
      <w:r>
        <w:instrText xml:space="preserve"> PAGEREF _Toc12866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_Toc12964 </w:instrText>
      </w:r>
      <w:r>
        <w:fldChar w:fldCharType="separate"/>
      </w:r>
      <w:r>
        <w:t xml:space="preserve">3 </w:t>
      </w:r>
      <w:r>
        <w:rPr>
          <w:rFonts w:hint="eastAsia"/>
        </w:rPr>
        <w:t>标准</w:t>
      </w:r>
      <w:r>
        <w:t>要求</w:t>
      </w:r>
      <w:r>
        <w:tab/>
      </w:r>
      <w:r>
        <w:fldChar w:fldCharType="begin"/>
      </w:r>
      <w:r>
        <w:instrText xml:space="preserve"> PAGEREF _Toc12964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_Toc15088 </w:instrText>
      </w:r>
      <w:r>
        <w:fldChar w:fldCharType="separate"/>
      </w:r>
      <w:r>
        <w:rPr>
          <w:kern w:val="2"/>
        </w:rPr>
        <w:t xml:space="preserve">4 </w:t>
      </w:r>
      <w:r>
        <w:rPr>
          <w:rFonts w:hint="eastAsia"/>
          <w:kern w:val="2"/>
        </w:rPr>
        <w:t>隔声理论概述</w:t>
      </w:r>
      <w:r>
        <w:tab/>
      </w:r>
      <w:r>
        <w:fldChar w:fldCharType="begin"/>
      </w:r>
      <w:r>
        <w:instrText xml:space="preserve"> PAGEREF _Toc15088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_Toc28582 </w:instrText>
      </w:r>
      <w:r>
        <w:fldChar w:fldCharType="separate"/>
      </w:r>
      <w:r>
        <w:t xml:space="preserve">4.1 </w:t>
      </w:r>
      <w:r>
        <w:rPr>
          <w:rFonts w:hint="eastAsia"/>
        </w:rPr>
        <w:t>原理概要</w:t>
      </w:r>
      <w:r>
        <w:tab/>
      </w:r>
      <w:r>
        <w:fldChar w:fldCharType="begin"/>
      </w:r>
      <w:r>
        <w:instrText xml:space="preserve"> PAGEREF _Toc28582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_Toc27363 </w:instrText>
      </w:r>
      <w:r>
        <w:fldChar w:fldCharType="separate"/>
      </w:r>
      <w:r>
        <w:t xml:space="preserve">4.2 </w:t>
      </w:r>
      <w:r>
        <w:rPr>
          <w:rFonts w:hint="eastAsia"/>
        </w:rPr>
        <w:t>质量定律</w:t>
      </w:r>
      <w:r>
        <w:tab/>
      </w:r>
      <w:r>
        <w:fldChar w:fldCharType="begin"/>
      </w:r>
      <w:r>
        <w:instrText xml:space="preserve"> PAGEREF _Toc27363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_Toc26237 </w:instrText>
      </w:r>
      <w:r>
        <w:fldChar w:fldCharType="separate"/>
      </w:r>
      <w:r>
        <w:t>4.3 隔声</w:t>
      </w:r>
      <w:r>
        <w:rPr>
          <w:rFonts w:hint="eastAsia"/>
        </w:rPr>
        <w:t>量计算经验</w:t>
      </w:r>
      <w:r>
        <w:t>公式</w:t>
      </w:r>
      <w:r>
        <w:tab/>
      </w:r>
      <w:r>
        <w:fldChar w:fldCharType="begin"/>
      </w:r>
      <w:r>
        <w:instrText xml:space="preserve"> PAGEREF _Toc26237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_Toc16235 </w:instrText>
      </w:r>
      <w:r>
        <w:fldChar w:fldCharType="separate"/>
      </w:r>
      <w:r>
        <w:t xml:space="preserve">4.4 </w:t>
      </w:r>
      <w:r>
        <w:rPr>
          <w:rFonts w:hint="eastAsia"/>
        </w:rPr>
        <w:t>单值评价量</w:t>
      </w:r>
      <w:r>
        <w:tab/>
      </w:r>
      <w:r>
        <w:fldChar w:fldCharType="begin"/>
      </w:r>
      <w:r>
        <w:instrText xml:space="preserve"> PAGEREF _Toc16235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_Toc22110 </w:instrText>
      </w:r>
      <w:r>
        <w:fldChar w:fldCharType="separate"/>
      </w:r>
      <w:r>
        <w:t xml:space="preserve">4.5 </w:t>
      </w:r>
      <w:r>
        <w:rPr>
          <w:rFonts w:hint="eastAsia"/>
        </w:rPr>
        <w:t>频谱修正量</w:t>
      </w:r>
      <w:r>
        <w:tab/>
      </w:r>
      <w:r>
        <w:fldChar w:fldCharType="begin"/>
      </w:r>
      <w:r>
        <w:instrText xml:space="preserve"> PAGEREF _Toc22110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_Toc23941 </w:instrText>
      </w:r>
      <w:r>
        <w:fldChar w:fldCharType="separate"/>
      </w:r>
      <w:r>
        <w:t xml:space="preserve">5 </w:t>
      </w:r>
      <w:r>
        <w:rPr>
          <w:rFonts w:hint="eastAsia"/>
        </w:rPr>
        <w:t>构件空气声隔声性能</w:t>
      </w:r>
      <w:r>
        <w:tab/>
      </w:r>
      <w:r>
        <w:fldChar w:fldCharType="begin"/>
      </w:r>
      <w:r>
        <w:instrText xml:space="preserve"> PAGEREF _Toc23941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_Toc4221 </w:instrText>
      </w:r>
      <w:r>
        <w:fldChar w:fldCharType="separate"/>
      </w:r>
      <w:r>
        <w:t xml:space="preserve">5.1 </w:t>
      </w:r>
      <w:r>
        <w:rPr>
          <w:rFonts w:hint="eastAsia"/>
        </w:rPr>
        <w:t>墙板的空气声隔声量</w:t>
      </w:r>
      <w:r>
        <w:tab/>
      </w:r>
      <w:r>
        <w:fldChar w:fldCharType="begin"/>
      </w:r>
      <w:r>
        <w:instrText xml:space="preserve"> PAGEREF _Toc4221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_Toc22776 </w:instrText>
      </w:r>
      <w:r>
        <w:fldChar w:fldCharType="separate"/>
      </w:r>
      <w:r>
        <w:t xml:space="preserve">5.1.1 </w:t>
      </w:r>
      <w:r>
        <w:rPr>
          <w:rFonts w:hint="eastAsia"/>
        </w:rPr>
        <w:t>墙板构造做法</w:t>
      </w:r>
      <w:r>
        <w:tab/>
      </w:r>
      <w:r>
        <w:fldChar w:fldCharType="begin"/>
      </w:r>
      <w:r>
        <w:instrText xml:space="preserve"> PAGEREF _Toc22776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_Toc27470 </w:instrText>
      </w:r>
      <w:r>
        <w:fldChar w:fldCharType="separate"/>
      </w:r>
      <w:r>
        <w:t xml:space="preserve">5.1.2 </w:t>
      </w:r>
      <w:r>
        <w:rPr>
          <w:rFonts w:hint="eastAsia"/>
        </w:rPr>
        <w:t>墙板空气声隔声性能</w:t>
      </w:r>
      <w:r>
        <w:tab/>
      </w:r>
      <w:r>
        <w:fldChar w:fldCharType="begin"/>
      </w:r>
      <w:r>
        <w:instrText xml:space="preserve"> PAGEREF _Toc27470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_Toc297 </w:instrText>
      </w:r>
      <w:r>
        <w:fldChar w:fldCharType="separate"/>
      </w:r>
      <w:r>
        <w:t xml:space="preserve">5.2 </w:t>
      </w:r>
      <w:r>
        <w:rPr>
          <w:rFonts w:hint="eastAsia"/>
        </w:rPr>
        <w:t>门窗的空气声隔声量</w:t>
      </w:r>
      <w:r>
        <w:tab/>
      </w:r>
      <w:r>
        <w:fldChar w:fldCharType="begin"/>
      </w:r>
      <w:r>
        <w:instrText xml:space="preserve"> PAGEREF _Toc297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_Toc26736 </w:instrText>
      </w:r>
      <w:r>
        <w:fldChar w:fldCharType="separate"/>
      </w:r>
      <w:r>
        <w:t xml:space="preserve">6 </w:t>
      </w:r>
      <w:r>
        <w:rPr>
          <w:rFonts w:hint="eastAsia"/>
        </w:rPr>
        <w:t>楼板撞击声隔声性能</w:t>
      </w:r>
      <w:r>
        <w:tab/>
      </w:r>
      <w:r>
        <w:fldChar w:fldCharType="begin"/>
      </w:r>
      <w:r>
        <w:instrText xml:space="preserve"> PAGEREF _Toc26736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_Toc18881 </w:instrText>
      </w:r>
      <w:r>
        <w:fldChar w:fldCharType="separate"/>
      </w:r>
      <w:r>
        <w:rPr>
          <w:kern w:val="2"/>
        </w:rPr>
        <w:t xml:space="preserve">7 </w:t>
      </w:r>
      <w:r>
        <w:rPr>
          <w:rFonts w:hint="eastAsia"/>
          <w:kern w:val="2"/>
        </w:rPr>
        <w:t>星级技术要求</w:t>
      </w:r>
      <w:r>
        <w:tab/>
      </w:r>
      <w:r>
        <w:fldChar w:fldCharType="begin"/>
      </w:r>
      <w:r>
        <w:instrText xml:space="preserve"> PAGEREF _Toc18881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_Toc21852 </w:instrText>
      </w:r>
      <w:r>
        <w:fldChar w:fldCharType="separate"/>
      </w:r>
      <w:r>
        <w:t xml:space="preserve">7.1 </w:t>
      </w:r>
      <w:r>
        <w:rPr>
          <w:rFonts w:hint="eastAsia"/>
        </w:rPr>
        <w:t>外墙-室外与卧室之间</w:t>
      </w:r>
      <w:r>
        <w:tab/>
      </w:r>
      <w:r>
        <w:fldChar w:fldCharType="begin"/>
      </w:r>
      <w:r>
        <w:instrText xml:space="preserve"> PAGEREF _Toc21852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_Toc3455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_Toc3455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_Toc6876 </w:instrText>
      </w:r>
      <w:r>
        <w:fldChar w:fldCharType="separate"/>
      </w:r>
      <w:r>
        <w:rPr>
          <w:kern w:val="2"/>
        </w:rPr>
        <w:t xml:space="preserve">8 </w:t>
      </w:r>
      <w:r>
        <w:rPr>
          <w:rFonts w:hint="eastAsia"/>
          <w:kern w:val="2"/>
        </w:rPr>
        <w:t>结论</w:t>
      </w:r>
      <w:r>
        <w:tab/>
      </w:r>
      <w:r>
        <w:fldChar w:fldCharType="begin"/>
      </w:r>
      <w:r>
        <w:instrText xml:space="preserve"> PAGEREF _Toc6876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6915"/>
      <w:r>
        <w:rPr>
          <w:rFonts w:hint="eastAsia"/>
        </w:rPr>
        <w:t>建筑概况</w:t>
      </w:r>
      <w:bookmarkEnd w:id="11"/>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lang w:val="en-US"/>
              </w:rPr>
            </w:pPr>
            <w:bookmarkStart w:id="12" w:name="工程名称"/>
            <w:r>
              <w:t>新乐市第四中学改扩建项目-5#宿舍楼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rPr>
                <w:lang w:val="en-US"/>
              </w:rPr>
            </w:pPr>
            <w:r>
              <w:rPr>
                <w:rFonts w:hint="eastAsia"/>
                <w:lang w:val="en-US"/>
              </w:rPr>
              <w:t>地上</w:t>
            </w:r>
            <w:r>
              <w:rPr>
                <w:rFonts w:hint="eastAsia"/>
                <w:lang w:val="en-US" w:eastAsia="zh-CN"/>
              </w:rPr>
              <w:t>4135.88</w:t>
            </w:r>
            <w:r>
              <w:rPr>
                <w:rFonts w:hint="eastAsia"/>
                <w:lang w:val="en-US"/>
              </w:rPr>
              <w:t xml:space="preserve">          地下</w:t>
            </w:r>
            <w:bookmarkStart w:id="13" w:name="地下建筑面积"/>
            <w:r>
              <w:t>0</w:t>
            </w:r>
            <w:bookmarkEnd w:id="13"/>
            <w:r>
              <w:rPr>
                <w:rFonts w:hint="eastAsia"/>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lang w:val="en-US"/>
              </w:rPr>
            </w:pPr>
            <w:r>
              <w:rPr>
                <w:rFonts w:hint="eastAsia"/>
                <w:lang w:val="en-US"/>
              </w:rPr>
              <w:t>地上</w:t>
            </w:r>
            <w:r>
              <w:rPr>
                <w:rFonts w:hint="eastAsia"/>
                <w:lang w:val="en-US" w:eastAsia="zh-CN"/>
              </w:rPr>
              <w:t>5</w:t>
            </w:r>
            <w:bookmarkStart w:id="73" w:name="_GoBack"/>
            <w:bookmarkEnd w:id="73"/>
            <w:r>
              <w:rPr>
                <w:rFonts w:hint="eastAsia"/>
                <w:lang w:val="en-US"/>
              </w:rPr>
              <w:t xml:space="preserve">       </w:t>
            </w:r>
            <w:r>
              <w:rPr>
                <w:lang w:val="en-US"/>
              </w:rPr>
              <w:t xml:space="preserve"> </w:t>
            </w:r>
            <w:r>
              <w:rPr>
                <w:rFonts w:hint="eastAsia"/>
                <w:lang w:val="en-US"/>
              </w:rPr>
              <w:t xml:space="preserve">  地下</w:t>
            </w:r>
            <w:bookmarkStart w:id="14" w:name="地下建筑层数"/>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lang w:val="en-US"/>
              </w:rPr>
            </w:pPr>
            <w:r>
              <w:rPr>
                <w:rFonts w:hint="eastAsia"/>
                <w:lang w:val="en-US"/>
              </w:rPr>
              <w:t>地上</w:t>
            </w:r>
            <w:r>
              <w:rPr>
                <w:rFonts w:hint="eastAsia"/>
                <w:lang w:val="en-US" w:eastAsia="zh-CN"/>
              </w:rPr>
              <w:t>20.05</w:t>
            </w:r>
            <w:r>
              <w:rPr>
                <w:rFonts w:hint="eastAsia"/>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lang w:val="en-US"/>
              </w:rPr>
            </w:pPr>
            <w:bookmarkStart w:id="15" w:name="北向角度"/>
            <w:r>
              <w:t>88</w:t>
            </w:r>
            <w:bookmarkEnd w:id="15"/>
          </w:p>
        </w:tc>
      </w:tr>
    </w:tbl>
    <w:p>
      <w:pPr>
        <w:jc w:val="center"/>
        <w:rPr>
          <w:rFonts w:ascii="黑体" w:hAnsi="黑体" w:eastAsia="黑体"/>
          <w:b/>
          <w:i/>
          <w:lang w:val="en-US"/>
        </w:rPr>
      </w:pPr>
      <w:bookmarkStart w:id="16" w:name="单体模型观察图"/>
      <w:bookmarkEnd w:id="16"/>
      <w:bookmarkStart w:id="17" w:name="围护结构概况"/>
      <w:bookmarkEnd w:id="17"/>
      <w:r>
        <w:rPr>
          <w:rFonts w:hint="eastAsia" w:ascii="黑体" w:hAnsi="黑体" w:eastAsia="黑体"/>
          <w:lang w:val="en-US"/>
        </w:rPr>
        <w:drawing>
          <wp:inline distT="0" distB="0" distL="114300" distR="114300">
            <wp:extent cx="5755640" cy="4612640"/>
            <wp:effectExtent l="0" t="0" r="16510" b="16510"/>
            <wp:docPr id="11" name="图片 11" descr="单体三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单体三维"/>
                    <pic:cNvPicPr>
                      <a:picLocks noChangeAspect="1"/>
                    </pic:cNvPicPr>
                  </pic:nvPicPr>
                  <pic:blipFill>
                    <a:blip r:embed="rId8"/>
                    <a:stretch>
                      <a:fillRect/>
                    </a:stretch>
                  </pic:blipFill>
                  <pic:spPr>
                    <a:xfrm>
                      <a:off x="0" y="0"/>
                      <a:ext cx="5755640" cy="4612640"/>
                    </a:xfrm>
                    <a:prstGeom prst="rect">
                      <a:avLst/>
                    </a:prstGeom>
                  </pic:spPr>
                </pic:pic>
              </a:graphicData>
            </a:graphic>
          </wp:inline>
        </w:drawing>
      </w: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18" w:name="_Toc12866"/>
      <w:r>
        <w:rPr>
          <w:rFonts w:hint="eastAsia"/>
        </w:rPr>
        <w:t>评价依据</w:t>
      </w:r>
      <w:bookmarkEnd w:id="18"/>
    </w:p>
    <w:p>
      <w:pPr>
        <w:pStyle w:val="3"/>
        <w:numPr>
          <w:ilvl w:val="0"/>
          <w:numId w:val="2"/>
        </w:numPr>
        <w:rPr>
          <w:lang w:val="en-US"/>
        </w:rPr>
      </w:pPr>
      <w:bookmarkStart w:id="19" w:name="标准名称1"/>
      <w:r>
        <w:t>河北省《绿色建筑评价标准》DB13(J)/T 8352-2020</w:t>
      </w:r>
      <w:bookmarkEnd w:id="19"/>
    </w:p>
    <w:p>
      <w:pPr>
        <w:pStyle w:val="3"/>
        <w:numPr>
          <w:ilvl w:val="0"/>
          <w:numId w:val="2"/>
        </w:numPr>
        <w:rPr>
          <w:lang w:val="en-US"/>
        </w:rPr>
      </w:pPr>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3"/>
        <w:numPr>
          <w:ilvl w:val="0"/>
          <w:numId w:val="2"/>
        </w:numPr>
        <w:rPr>
          <w:lang w:val="en-US"/>
        </w:rPr>
      </w:pPr>
      <w:r>
        <w:rPr>
          <w:rFonts w:hint="eastAsia"/>
          <w:lang w:val="en-US"/>
        </w:rPr>
        <w:t xml:space="preserve">《民用建筑绿色性能计算标准》JGJ/T 449-2018 </w:t>
      </w:r>
    </w:p>
    <w:p>
      <w:pPr>
        <w:pStyle w:val="2"/>
        <w:ind w:left="669" w:hanging="669"/>
      </w:pPr>
      <w:bookmarkStart w:id="20" w:name="_Toc12964"/>
      <w:r>
        <w:rPr>
          <w:rFonts w:hint="eastAsia"/>
        </w:rPr>
        <w:t>标准</w:t>
      </w:r>
      <w:r>
        <w:t>要求</w:t>
      </w:r>
      <w:bookmarkEnd w:id="20"/>
    </w:p>
    <w:p>
      <w:pPr>
        <w:pStyle w:val="3"/>
        <w:ind w:firstLine="420" w:firstLineChars="200"/>
      </w:pPr>
      <w:bookmarkStart w:id="21" w:name="标准名称3"/>
      <w:r>
        <w:rPr>
          <w:rFonts w:hint="eastAsia"/>
        </w:rPr>
        <w:t>河北省《绿色建筑评价标准》DB13(J)/T 8352-2020</w:t>
      </w:r>
      <w:bookmarkEnd w:id="21"/>
      <w:r>
        <w:rPr>
          <w:rFonts w:hint="eastAsia"/>
        </w:rPr>
        <w:t>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left="360" w:leftChars="200"/>
      </w:pPr>
      <w:bookmarkStart w:id="22" w:name="室内构件隔声条文内容1"/>
      <w:bookmarkEnd w:id="22"/>
      <w:r>
        <w:t>5.2.7 主要功能房间的隔声性能良好，评价总分值为 10 分，按下列规则分别评分并累计：</w:t>
      </w:r>
    </w:p>
    <w:p>
      <w:pPr>
        <w:pStyle w:val="3"/>
        <w:ind w:left="360" w:leftChars="200"/>
      </w:pPr>
      <w:r>
        <w:t xml:space="preserve">    1 构件及相邻房间之间的空气声隔声性能达到现行国家标准《民用建筑隔声设计规范》GB 50118 中的低限标准限值和高要求标准限值的平均值，且高于低限标准限值 3dB，得 3 分；达到高要求标准限值，得 5 分；</w:t>
      </w:r>
    </w:p>
    <w:p>
      <w:pPr>
        <w:pStyle w:val="3"/>
        <w:ind w:left="360" w:leftChars="200"/>
      </w:pPr>
      <w:r>
        <w:t xml:space="preserve">    2 增加楼板厚度或采用浮筑楼板、弹性面层、隔声吊顶、阻尼板等措施加强楼板撞击声隔声性能，楼板的撞击声隔声性达到现行国家标准《民用建筑隔声设计规范》GB 50118 中的低限标准限值和高要求标准限值的平均值，且低于低限标准限值 3dB，得3 分；达到高要求标准限值，得 5 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3" w:name="_Toc438716944"/>
      <w:r>
        <w:rPr>
          <w:rFonts w:hint="eastAsia"/>
          <w:bCs/>
          <w:lang w:val="en-US"/>
        </w:rPr>
        <w:t>《绿色建筑评价标准》</w:t>
      </w:r>
      <w:r>
        <w:rPr>
          <w:bCs/>
          <w:lang w:val="en-US"/>
        </w:rPr>
        <w:t>GB/T50378-2019</w:t>
      </w:r>
      <w:r>
        <w:rPr>
          <w:rFonts w:hint="eastAsia"/>
          <w:bCs/>
          <w:lang w:val="en-US"/>
        </w:rPr>
        <w:t>在3.2.8条中</w:t>
      </w:r>
      <w:r>
        <w:rPr>
          <w:bCs/>
          <w:lang w:val="en-US"/>
        </w:rPr>
        <w:t>对二星级、三星级绿色建筑（住宅建筑）的隔声性能提出了要求，</w:t>
      </w:r>
      <w:r>
        <w:rPr>
          <w:rFonts w:hint="eastAsia"/>
          <w:bCs/>
          <w:lang w:val="en-US"/>
        </w:rPr>
        <w:t>二星级以上</w:t>
      </w:r>
      <w:r>
        <w:rPr>
          <w:bCs/>
          <w:lang w:val="en-US"/>
        </w:rPr>
        <w:t>住宅建筑</w:t>
      </w:r>
      <w:r>
        <w:rPr>
          <w:rFonts w:hint="eastAsia"/>
          <w:bCs/>
          <w:lang w:val="en-US"/>
        </w:rPr>
        <w:t>需满足</w:t>
      </w:r>
      <w:r>
        <w:rPr>
          <w:bCs/>
          <w:lang w:val="en-US"/>
        </w:rPr>
        <w:t>室外与卧室之间、分户墙或分户楼板两</w:t>
      </w:r>
      <w:r>
        <w:rPr>
          <w:lang w:val="en-US"/>
        </w:rPr>
        <w:t>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D</w:t>
            </w:r>
            <w:r>
              <w:rPr>
                <w:sz w:val="20"/>
                <w:vertAlign w:val="subscript"/>
              </w:rPr>
              <w:t>nT,w</w: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sz w:val="20"/>
              </w:rPr>
              <w:t>D</w:t>
            </w:r>
            <w:r>
              <w:rPr>
                <w:sz w:val="20"/>
                <w:vertAlign w:val="subscript"/>
              </w:rPr>
              <w:t>nT,w</w: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D</w:t>
            </w:r>
            <w:r>
              <w:rPr>
                <w:sz w:val="20"/>
                <w:vertAlign w:val="subscript"/>
              </w:rPr>
              <w:t>nT,w</w: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sz w:val="20"/>
              </w:rPr>
              <w:t>D</w:t>
            </w:r>
            <w:r>
              <w:rPr>
                <w:sz w:val="20"/>
                <w:vertAlign w:val="subscript"/>
              </w:rPr>
              <w:t>nT,w</w: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L</w:t>
            </w:r>
            <w:r>
              <w:rPr>
                <w:sz w:val="20"/>
                <w:vertAlign w:val="superscript"/>
              </w:rPr>
              <w:t>’</w:t>
            </w:r>
            <w:r>
              <w:rPr>
                <w:sz w:val="20"/>
                <w:vertAlign w:val="subscript"/>
              </w:rPr>
              <w:t>nT,w</w: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sz w:val="20"/>
              </w:rPr>
              <w:t>L</w:t>
            </w:r>
            <w:r>
              <w:rPr>
                <w:sz w:val="20"/>
                <w:vertAlign w:val="superscript"/>
              </w:rPr>
              <w:t>’</w:t>
            </w:r>
            <w:r>
              <w:rPr>
                <w:sz w:val="20"/>
                <w:vertAlign w:val="subscript"/>
              </w:rPr>
              <w:t xml:space="preserve">nT,w </w:t>
            </w:r>
            <w:r>
              <w:rPr>
                <w:sz w:val="20"/>
              </w:rPr>
              <w:t xml:space="preserve">≤65 </w:t>
            </w:r>
            <w:r>
              <w:rPr>
                <w:rFonts w:hint="eastAsia"/>
                <w:sz w:val="20"/>
              </w:rPr>
              <w:t>d</w:t>
            </w:r>
            <w:r>
              <w:rPr>
                <w:sz w:val="20"/>
              </w:rPr>
              <w:t>B</w:t>
            </w:r>
          </w:p>
        </w:tc>
      </w:tr>
    </w:tbl>
    <w:p>
      <w:pPr>
        <w:pStyle w:val="3"/>
        <w:ind w:left="360" w:leftChars="200" w:firstLine="420" w:firstLineChars="200"/>
      </w:pPr>
      <w:r>
        <w:rPr>
          <w:rFonts w:hint="eastAsia"/>
          <w:lang w:val="en-US"/>
        </w:rPr>
        <w:t>条文说明以及《绿色建筑评价标准技术细则》中指出</w:t>
      </w:r>
      <w:r>
        <w:rPr>
          <w:lang w:val="en-US"/>
        </w:rPr>
        <w:t>预评价时室外和卧室之间的隔声性能通</w:t>
      </w:r>
      <w:r>
        <w:t>过外窗和外墙的隔声性能</w:t>
      </w:r>
      <w:r>
        <w:rPr>
          <w:rFonts w:hint="eastAsia"/>
        </w:rPr>
        <w:t>，</w:t>
      </w:r>
      <w:r>
        <w:t>按组合隔声量的理论进行预测。</w:t>
      </w:r>
    </w:p>
    <w:p>
      <w:pPr>
        <w:pStyle w:val="2"/>
        <w:ind w:left="669" w:hanging="669"/>
        <w:rPr>
          <w:kern w:val="2"/>
        </w:rPr>
      </w:pPr>
      <w:bookmarkStart w:id="24" w:name="_Toc15088"/>
      <w:r>
        <w:rPr>
          <w:rFonts w:hint="eastAsia"/>
          <w:kern w:val="2"/>
        </w:rPr>
        <w:t>隔声理论概述</w:t>
      </w:r>
      <w:bookmarkEnd w:id="24"/>
    </w:p>
    <w:p>
      <w:pPr>
        <w:pStyle w:val="3"/>
        <w:tabs>
          <w:tab w:val="right" w:pos="9070"/>
        </w:tabs>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r>
        <w:tab/>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28582"/>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5pt;width:54.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03"/>
      <w:bookmarkStart w:id="27" w:name="_Toc503275877"/>
      <w:bookmarkStart w:id="28" w:name="_Toc27363"/>
      <w:bookmarkStart w:id="29" w:name="_Toc503800668"/>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75pt;width:107.2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26237"/>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086100" cy="473075"/>
            <wp:effectExtent l="0" t="0" r="0" b="317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8"/>
                    <a:stretch>
                      <a:fillRect/>
                    </a:stretch>
                  </pic:blipFill>
                  <pic:spPr>
                    <a:xfrm>
                      <a:off x="0" y="0"/>
                      <a:ext cx="3086100" cy="473075"/>
                    </a:xfrm>
                    <a:prstGeom prst="rect">
                      <a:avLst/>
                    </a:prstGeom>
                  </pic:spPr>
                </pic:pic>
              </a:graphicData>
            </a:graphic>
          </wp:inline>
        </w:drawing>
      </w:r>
    </w:p>
    <w:p>
      <w:pPr>
        <w:pStyle w:val="3"/>
        <w:ind w:firstLine="420" w:firstLineChars="200"/>
        <w:jc w:val="center"/>
      </w:pPr>
      <w:r>
        <w:rPr>
          <w:lang w:val="en-US"/>
        </w:rPr>
        <w:drawing>
          <wp:inline distT="0" distB="0" distL="0" distR="0">
            <wp:extent cx="3811270"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pPr>
        <w:jc w:val="center"/>
        <w:rPr>
          <w:lang w:val="en-US"/>
        </w:rPr>
      </w:pPr>
      <w:r>
        <w:rPr>
          <w:rFonts w:hint="eastAsia"/>
          <w:lang w:val="en-US"/>
        </w:rPr>
        <w:t>图4-5构件500</w:t>
      </w:r>
      <w:r>
        <w:rPr>
          <w:lang w:val="en-US"/>
        </w:rPr>
        <w:t>H</w:t>
      </w:r>
      <w:r>
        <w:rPr>
          <w:rFonts w:hint="eastAsia"/>
          <w:lang w:val="en-US"/>
        </w:rPr>
        <w:t>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16235"/>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4">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rPr>
        <w:t>计权规范化撞击声压级是表征构件撞击声隔声性能的单值评价量，满足不利偏差要求的最小值再减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30">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7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31">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22110"/>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2"/>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3" w:name="_Toc23941"/>
      <w:r>
        <w:rPr>
          <w:rFonts w:hint="eastAsia"/>
        </w:rPr>
        <w:t>构件空气声隔声性能</w:t>
      </w:r>
      <w:bookmarkEnd w:id="33"/>
    </w:p>
    <w:p>
      <w:pPr>
        <w:pStyle w:val="4"/>
      </w:pPr>
      <w:bookmarkStart w:id="34" w:name="_Toc4221"/>
      <w:r>
        <w:rPr>
          <w:rFonts w:hint="eastAsia"/>
        </w:rPr>
        <w:t>墙板的空气声隔声量</w:t>
      </w:r>
      <w:bookmarkEnd w:id="34"/>
    </w:p>
    <w:p>
      <w:pPr>
        <w:pStyle w:val="5"/>
      </w:pPr>
      <w:bookmarkStart w:id="35" w:name="_Toc22776"/>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矿棉、岩棉、玻璃棉板(ρ=80-200)</w:t>
            </w:r>
          </w:p>
        </w:tc>
        <w:tc>
          <w:tcPr>
            <w:vAlign w:val="center"/>
          </w:tcPr>
          <w:p>
            <w:pPr>
              <w:jc w:val="center"/>
            </w:pPr>
            <w:r>
              <w:t>110</w:t>
            </w:r>
          </w:p>
        </w:tc>
        <w:tc>
          <w:tcPr>
            <w:vAlign w:val="center"/>
          </w:tcPr>
          <w:p>
            <w:pPr>
              <w:jc w:val="center"/>
            </w:pPr>
            <w:r>
              <w:t>140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页岩砖墙</w:t>
            </w:r>
          </w:p>
        </w:tc>
        <w:tc>
          <w:tcPr>
            <w:vAlign w:val="center"/>
          </w:tcPr>
          <w:p>
            <w:pPr>
              <w:jc w:val="center"/>
            </w:pPr>
            <w:r>
              <w:t>370</w:t>
            </w:r>
          </w:p>
        </w:tc>
        <w:tc>
          <w:tcPr>
            <w:vAlign w:val="center"/>
          </w:tcPr>
          <w:p>
            <w:pPr>
              <w:jc w:val="center"/>
            </w:pPr>
            <w:r>
              <w:t>1800</w:t>
            </w:r>
          </w:p>
        </w:tc>
        <w:tc>
          <w:tcPr>
            <w:vAlign w:val="center"/>
          </w:tcPr>
          <w:p>
            <w:pPr>
              <w:jc w:val="center"/>
            </w:pPr>
            <w:r>
              <w:t>666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页岩砖墙</w:t>
            </w:r>
          </w:p>
        </w:tc>
        <w:tc>
          <w:tcPr>
            <w:vAlign w:val="center"/>
          </w:tcPr>
          <w:p>
            <w:pPr>
              <w:jc w:val="center"/>
            </w:pPr>
            <w:r>
              <w:t>240</w:t>
            </w:r>
          </w:p>
        </w:tc>
        <w:tc>
          <w:tcPr>
            <w:vAlign w:val="center"/>
          </w:tcPr>
          <w:p>
            <w:pPr>
              <w:jc w:val="center"/>
            </w:pPr>
            <w:r>
              <w:t>1800</w:t>
            </w:r>
          </w:p>
        </w:tc>
        <w:tc>
          <w:tcPr>
            <w:vAlign w:val="center"/>
          </w:tcPr>
          <w:p>
            <w:pPr>
              <w:jc w:val="center"/>
            </w:pPr>
            <w:r>
              <w:t>432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C20细石混凝土(ρ=2300)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水泥膨胀珍珠岩(ρ=600)</w:t>
            </w:r>
          </w:p>
        </w:tc>
        <w:tc>
          <w:tcPr>
            <w:vAlign w:val="center"/>
          </w:tcPr>
          <w:p>
            <w:pPr>
              <w:jc w:val="center"/>
            </w:pPr>
            <w:r>
              <w:t>20</w:t>
            </w:r>
          </w:p>
        </w:tc>
        <w:tc>
          <w:tcPr>
            <w:vAlign w:val="center"/>
          </w:tcPr>
          <w:p>
            <w:pPr>
              <w:jc w:val="center"/>
            </w:pPr>
            <w:r>
              <w:t>600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100</w:t>
            </w:r>
          </w:p>
        </w:tc>
        <w:tc>
          <w:tcPr>
            <w:vAlign w:val="center"/>
          </w:tcPr>
          <w:p>
            <w:pPr>
              <w:jc w:val="center"/>
            </w:pPr>
            <w:r>
              <w:t>29</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100</w:t>
            </w:r>
          </w:p>
        </w:tc>
        <w:tc>
          <w:tcPr>
            <w:vAlign w:val="center"/>
          </w:tcPr>
          <w:p>
            <w:pPr>
              <w:jc w:val="center"/>
            </w:pPr>
            <w:r>
              <w:t>2500</w:t>
            </w:r>
          </w:p>
        </w:tc>
        <w:tc>
          <w:tcPr>
            <w:vAlign w:val="center"/>
          </w:tcPr>
          <w:p>
            <w:pPr>
              <w:jc w:val="center"/>
            </w:pPr>
            <w:r>
              <w:t>250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40</w:t>
            </w:r>
          </w:p>
        </w:tc>
        <w:tc>
          <w:tcPr>
            <w:vAlign w:val="center"/>
          </w:tcPr>
          <w:p>
            <w:pPr>
              <w:jc w:val="center"/>
            </w:pPr>
            <w:r>
              <w:t>1800</w:t>
            </w:r>
          </w:p>
        </w:tc>
        <w:tc>
          <w:tcPr>
            <w:vAlign w:val="center"/>
          </w:tcPr>
          <w:p>
            <w:pPr>
              <w:jc w:val="center"/>
            </w:pPr>
            <w:r>
              <w:t>72</w:t>
            </w:r>
          </w:p>
        </w:tc>
        <w:tc>
          <w:tcPr>
            <w:vMerge w:val="restart"/>
            <w:vAlign w:val="center"/>
          </w:tcPr>
          <w:p>
            <w:pPr>
              <w:jc w:val="center"/>
            </w:pPr>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27470"/>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水泥砂浆 20mm＋矿棉、岩棉、玻璃棉板(ρ=80-200) 110mm＋页岩砖墙 370mm＋石灰水泥砂浆（混合砂浆）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48.2</w:t>
            </w:r>
          </w:p>
        </w:tc>
        <w:tc>
          <w:tcPr>
            <w:vAlign w:val="center"/>
          </w:tcPr>
          <w:p>
            <w:r>
              <w:t>51.5</w:t>
            </w:r>
          </w:p>
        </w:tc>
        <w:tc>
          <w:tcPr>
            <w:vAlign w:val="center"/>
          </w:tcPr>
          <w:p>
            <w:r>
              <w:t>54.8</w:t>
            </w:r>
          </w:p>
        </w:tc>
        <w:tc>
          <w:tcPr>
            <w:vAlign w:val="center"/>
          </w:tcPr>
          <w:p>
            <w:r>
              <w:t>58.1</w:t>
            </w:r>
          </w:p>
        </w:tc>
        <w:tc>
          <w:tcPr>
            <w:vAlign w:val="center"/>
          </w:tcPr>
          <w:p>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3.2</w:t>
            </w:r>
          </w:p>
        </w:tc>
        <w:tc>
          <w:tcPr>
            <w:vAlign w:val="center"/>
          </w:tcPr>
          <w:p>
            <w:r>
              <w:t>2.9</w:t>
            </w:r>
          </w:p>
        </w:tc>
        <w:tc>
          <w:tcPr>
            <w:vAlign w:val="center"/>
          </w:tcPr>
          <w:p>
            <w:r>
              <w:t>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shd w:val="clear" w:color="auto" w:fill="E6E6E6"/>
            <w:vAlign w:val="center"/>
          </w:tcPr>
          <w:p>
            <w:r>
              <w:t>构造做法</w:t>
            </w:r>
          </w:p>
        </w:tc>
        <w:tc>
          <w:tcPr>
            <w:gridSpan w:val="5"/>
            <w:vAlign w:val="center"/>
          </w:tcPr>
          <w:p>
            <w:r>
              <w:t>石灰水泥砂浆（混合砂浆） 20mm＋页岩砖墙 240mm＋石灰水泥砂浆（混合砂浆）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44.1</w:t>
            </w:r>
          </w:p>
        </w:tc>
        <w:tc>
          <w:tcPr>
            <w:vAlign w:val="center"/>
          </w:tcPr>
          <w:p>
            <w:r>
              <w:t>47.5</w:t>
            </w:r>
          </w:p>
        </w:tc>
        <w:tc>
          <w:tcPr>
            <w:vAlign w:val="center"/>
          </w:tcPr>
          <w:p>
            <w:r>
              <w:t>50.8</w:t>
            </w:r>
          </w:p>
        </w:tc>
        <w:tc>
          <w:tcPr>
            <w:vAlign w:val="center"/>
          </w:tcPr>
          <w:p>
            <w:r>
              <w:t>54.1</w:t>
            </w:r>
          </w:p>
        </w:tc>
        <w:tc>
          <w:tcPr>
            <w:vAlign w:val="center"/>
          </w:tcPr>
          <w:p>
            <w:r>
              <w:t>57.4</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3.2</w:t>
            </w:r>
          </w:p>
        </w:tc>
        <w:tc>
          <w:tcPr>
            <w:vAlign w:val="center"/>
          </w:tcPr>
          <w:p>
            <w:r>
              <w:t>2.9</w:t>
            </w:r>
          </w:p>
        </w:tc>
        <w:tc>
          <w:tcPr>
            <w:vAlign w:val="center"/>
          </w:tcPr>
          <w:p>
            <w: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shd w:val="clear" w:color="auto" w:fill="E6E6E6"/>
            <w:vAlign w:val="center"/>
          </w:tcPr>
          <w:p>
            <w:r>
              <w:t>构造做法</w:t>
            </w:r>
          </w:p>
        </w:tc>
        <w:tc>
          <w:tcPr>
            <w:gridSpan w:val="5"/>
            <w:vAlign w:val="center"/>
          </w:tcPr>
          <w:p>
            <w:r>
              <w:t>水泥砂浆 40mm＋钢筋混凝土 120mm＋石灰水泥砂浆（混合砂浆）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42.1</w:t>
            </w:r>
          </w:p>
        </w:tc>
        <w:tc>
          <w:tcPr>
            <w:vAlign w:val="center"/>
          </w:tcPr>
          <w:p>
            <w:r>
              <w:t>45.4</w:t>
            </w:r>
          </w:p>
        </w:tc>
        <w:tc>
          <w:tcPr>
            <w:vAlign w:val="center"/>
          </w:tcPr>
          <w:p>
            <w:r>
              <w:t>48.7</w:t>
            </w:r>
          </w:p>
        </w:tc>
        <w:tc>
          <w:tcPr>
            <w:vAlign w:val="center"/>
          </w:tcPr>
          <w:p>
            <w:r>
              <w:t>52.0</w:t>
            </w:r>
          </w:p>
        </w:tc>
        <w:tc>
          <w:tcPr>
            <w:vAlign w:val="center"/>
          </w:tcPr>
          <w:p>
            <w:r>
              <w:t>55.3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3"/>
        <w:rPr>
          <w:lang w:val="en-US"/>
        </w:rPr>
      </w:pPr>
    </w:p>
    <w:p>
      <w:pPr>
        <w:pStyle w:val="4"/>
      </w:pPr>
      <w:bookmarkStart w:id="45" w:name="_Toc297"/>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6" w:name="门窗空气声隔声量"/>
      <w:bookmarkEnd w:id="46"/>
      <w:r>
        <w:rPr>
          <w:rFonts w:ascii="宋体" w:hAnsi="宋体" w:eastAsia="宋体"/>
          <w:kern w:val="0"/>
          <w:sz w:val="21"/>
          <w:szCs w:val="21"/>
        </w:rPr>
        <w:t>本工程无此项评价</w:t>
      </w:r>
    </w:p>
    <w:p>
      <w:pPr>
        <w:pStyle w:val="2"/>
        <w:ind w:left="669" w:hanging="669"/>
      </w:pPr>
      <w:bookmarkStart w:id="47" w:name="_Toc26736"/>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shd w:val="clear" w:color="auto" w:fill="E6E6E6"/>
            <w:vAlign w:val="center"/>
          </w:tcPr>
          <w:p>
            <w:r>
              <w:rPr>
                <w:sz w:val="18"/>
                <w:szCs w:val="18"/>
              </w:rPr>
              <w:t>构造做法</w:t>
            </w:r>
          </w:p>
        </w:tc>
        <w:tc>
          <w:tcPr>
            <w:gridSpan w:val="5"/>
            <w:vAlign w:val="center"/>
          </w:tcPr>
          <w:p>
            <w:r>
              <w:rPr>
                <w:sz w:val="18"/>
                <w:szCs w:val="18"/>
              </w:rPr>
              <w:t>水泥砂浆 40mm＋钢筋混凝土 120mm＋石灰水泥砂浆（混合砂浆）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bl>
    <w:p>
      <w:pPr>
        <w:rPr>
          <w:lang w:val="en-US"/>
        </w:rPr>
      </w:pPr>
      <w:bookmarkStart w:id="48" w:name="撞击声隔声"/>
      <w:bookmarkEnd w:id="48"/>
    </w:p>
    <w:bookmarkEnd w:id="23"/>
    <w:p>
      <w:pPr>
        <w:pStyle w:val="2"/>
        <w:ind w:left="669" w:hanging="669"/>
        <w:rPr>
          <w:kern w:val="2"/>
        </w:rPr>
      </w:pPr>
      <w:bookmarkStart w:id="49" w:name="_Toc18881"/>
      <w:r>
        <w:rPr>
          <w:rFonts w:hint="eastAsia"/>
          <w:kern w:val="2"/>
        </w:rPr>
        <w:t>星级技术要求</w:t>
      </w:r>
      <w:bookmarkEnd w:id="49"/>
    </w:p>
    <w:p>
      <w:pPr>
        <w:pStyle w:val="4"/>
      </w:pPr>
      <w:bookmarkStart w:id="50" w:name="_Toc21852"/>
      <w:r>
        <w:rPr>
          <w:rFonts w:hint="eastAsia"/>
        </w:rPr>
        <w:t>外墙-室外与卧室之间</w:t>
      </w:r>
      <w:bookmarkEnd w:id="50"/>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3"/>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51" w:name="组合墙星级评价表"/>
      <w:bookmarkEnd w:id="51"/>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2" w:name="_Toc3455"/>
      <w:r>
        <w:rPr>
          <w:rFonts w:hint="eastAsia"/>
        </w:rPr>
        <w:t>分户墙</w:t>
      </w:r>
      <w:r>
        <w:t>-</w:t>
      </w:r>
      <w:r>
        <w:rPr>
          <w:rFonts w:hint="eastAsia"/>
        </w:rPr>
        <w:t>两侧卧室之间</w:t>
      </w:r>
      <w:bookmarkEnd w:id="52"/>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3" w:name="分户墙星级评价表"/>
      <w:bookmarkEnd w:id="53"/>
    </w:p>
    <w:p>
      <w:pPr>
        <w:pStyle w:val="3"/>
        <w:ind w:firstLine="420"/>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kern w:val="2"/>
        </w:rPr>
      </w:pPr>
      <w:bookmarkStart w:id="54" w:name="_Toc6876"/>
      <w:r>
        <w:rPr>
          <w:rFonts w:hint="eastAsia"/>
          <w:kern w:val="2"/>
        </w:rPr>
        <w:t>结论</w:t>
      </w:r>
      <w:bookmarkEnd w:id="54"/>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56</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54</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52</w:t>
            </w:r>
          </w:p>
        </w:tc>
        <w:tc>
          <w:tcPr>
            <w:vAlign w:val="center"/>
          </w:tcPr>
          <w:p>
            <w:r>
              <w:t>低限:&gt;45,高要求:&gt;50</w:t>
            </w:r>
          </w:p>
        </w:tc>
        <w:tc>
          <w:tcPr>
            <w:vAlign w:val="center"/>
          </w:tcPr>
          <w:p>
            <w:r>
              <w:rPr>
                <w:b/>
              </w:rPr>
              <w:t>满足高要求</w:t>
            </w:r>
          </w:p>
        </w:tc>
      </w:tr>
    </w:tbl>
    <w:p>
      <w:bookmarkStart w:id="55" w:name="构件隔声性能统计"/>
      <w:bookmarkEnd w:id="55"/>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69</w:t>
            </w:r>
          </w:p>
        </w:tc>
        <w:tc>
          <w:tcPr>
            <w:vAlign w:val="center"/>
          </w:tcPr>
          <w:p>
            <w:r>
              <w:t>低限:&lt;75,高要求:&lt;65</w:t>
            </w:r>
          </w:p>
        </w:tc>
        <w:tc>
          <w:tcPr>
            <w:vAlign w:val="center"/>
          </w:tcPr>
          <w:p>
            <w:r>
              <w:rPr>
                <w:b/>
              </w:rPr>
              <w:t>满足平均要求</w:t>
            </w:r>
          </w:p>
        </w:tc>
      </w:tr>
    </w:tbl>
    <w:p>
      <w:bookmarkStart w:id="56" w:name="撞击声隔声性能统计"/>
      <w:bookmarkEnd w:id="56"/>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jc w:val="center"/>
              <w:rPr>
                <w:b/>
              </w:rPr>
            </w:pPr>
            <w:bookmarkStart w:id="57" w:name="组合墙星级评价隔声量"/>
            <w:r>
              <w:rPr>
                <w:b/>
              </w:rPr>
              <w:t>--</w:t>
            </w:r>
            <w:bookmarkEnd w:id="57"/>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jc w:val="center"/>
              <w:rPr>
                <w:b/>
                <w:highlight w:val="yellow"/>
                <w:lang w:val="en-US"/>
              </w:rPr>
            </w:pPr>
            <w:bookmarkStart w:id="58" w:name="组合墙星级评价结论"/>
            <w:r>
              <w:rPr>
                <w:b/>
              </w:rPr>
              <w:t>--</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jc w:val="center"/>
              <w:rPr>
                <w:b/>
              </w:rPr>
            </w:pPr>
            <w:bookmarkStart w:id="59" w:name="分户墙星级评价隔声量"/>
            <w:r>
              <w:rPr>
                <w:b/>
              </w:rPr>
              <w:t>--</w:t>
            </w:r>
            <w:bookmarkEnd w:id="59"/>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jc w:val="center"/>
              <w:rPr>
                <w:b/>
                <w:highlight w:val="yellow"/>
                <w:lang w:val="en-US"/>
              </w:rPr>
            </w:pPr>
            <w:bookmarkStart w:id="60" w:name="分户墙星级评价结论"/>
            <w:r>
              <w:rPr>
                <w:b/>
              </w:rPr>
              <w:t>--</w:t>
            </w:r>
            <w:bookmarkEnd w:id="6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jc w:val="center"/>
              <w:rPr>
                <w:b/>
              </w:rPr>
            </w:pPr>
            <w:bookmarkStart w:id="61" w:name="分户楼板星级评价撞击声压级"/>
            <w:r>
              <w:rPr>
                <w:b/>
              </w:rPr>
              <w:t>69</w:t>
            </w:r>
            <w:bookmarkEnd w:id="61"/>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jc w:val="center"/>
              <w:rPr>
                <w:b/>
                <w:highlight w:val="yellow"/>
                <w:lang w:val="en-US"/>
              </w:rPr>
            </w:pPr>
            <w:bookmarkStart w:id="62" w:name="分户楼板星级评价结论"/>
            <w:r>
              <w:rPr>
                <w:b/>
              </w:rPr>
              <w:t>二星级</w:t>
            </w:r>
            <w:bookmarkEnd w:id="62"/>
          </w:p>
        </w:tc>
      </w:tr>
    </w:tbl>
    <w:p>
      <w:pPr>
        <w:pStyle w:val="3"/>
        <w:rPr>
          <w:rFonts w:ascii="宋体" w:hAnsi="宋体"/>
        </w:rPr>
      </w:pPr>
      <w:r>
        <w:rPr>
          <w:rFonts w:hint="eastAsia" w:ascii="宋体" w:hAnsi="宋体"/>
        </w:rPr>
        <w:t xml:space="preserve">    综上，根据</w:t>
      </w:r>
      <w:bookmarkStart w:id="63" w:name="标准名称2"/>
      <w:r>
        <w:t>河北省《绿色建筑评价标准》DB13(J)/T 8352-2020</w:t>
      </w:r>
      <w:bookmarkEnd w:id="63"/>
      <w:r>
        <w:rPr>
          <w:rFonts w:hint="eastAsia" w:ascii="宋体" w:hAnsi="宋体"/>
        </w:rPr>
        <w:t>、《绿色建筑评</w:t>
      </w:r>
      <w:r>
        <w:t>价标准》GB/T50378-2019和《民用建筑隔声设计规范》GB50118-2010评价要求，可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Cs/>
              </w:rPr>
            </w:pPr>
            <w:r>
              <w:rPr>
                <w:bCs/>
              </w:rPr>
              <w:t>检查项</w:t>
            </w:r>
          </w:p>
        </w:tc>
        <w:tc>
          <w:tcPr>
            <w:tcW w:w="5812" w:type="dxa"/>
            <w:shd w:val="clear" w:color="auto" w:fill="E6E6E6"/>
          </w:tcPr>
          <w:p>
            <w:pPr>
              <w:jc w:val="center"/>
              <w:rPr>
                <w:bCs/>
              </w:rPr>
            </w:pPr>
            <w:r>
              <w:rPr>
                <w:rFonts w:hint="eastAsia"/>
                <w:bCs/>
              </w:rPr>
              <w:t>评价</w:t>
            </w:r>
            <w:r>
              <w:rPr>
                <w:bCs/>
              </w:rPr>
              <w:t>依据</w:t>
            </w:r>
          </w:p>
        </w:tc>
        <w:tc>
          <w:tcPr>
            <w:tcW w:w="1523"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4" w:name="空气声控制项结论"/>
            <w:r>
              <w:rPr>
                <w:rFonts w:hint="eastAsia"/>
                <w:b/>
                <w:lang w:val="en-US"/>
              </w:rPr>
              <w:t>满足</w:t>
            </w:r>
            <w:bookmarkEnd w:id="64"/>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bookmarkStart w:id="65" w:name="室内空气声条文内容"/>
            <w:bookmarkEnd w:id="65"/>
            <w:r>
              <w:rPr>
                <w:sz w:val="18"/>
                <w:szCs w:val="18"/>
              </w:rPr>
              <w:t>5.2.7 构件及相邻房间之间的空气声隔声性能达到现行国家标准《民用建筑隔声设计规范》GB 50118 中的低限标准限值和高要求标准限值的平均值，且高于低限标准限值 3dB，得 3 分；达到高要求标准限值，得 5 分；</w:t>
            </w:r>
          </w:p>
        </w:tc>
        <w:tc>
          <w:tcPr>
            <w:tcW w:w="1523" w:type="dxa"/>
            <w:vAlign w:val="center"/>
          </w:tcPr>
          <w:p>
            <w:pPr>
              <w:jc w:val="center"/>
              <w:rPr>
                <w:b/>
                <w:lang w:val="en-US"/>
              </w:rPr>
            </w:pPr>
            <w:bookmarkStart w:id="66" w:name="空气声评分项结论"/>
            <w:r>
              <w:rPr>
                <w:rFonts w:hint="eastAsia"/>
                <w:b/>
                <w:lang w:val="en-US"/>
              </w:rPr>
              <w:t>满足高要求</w:t>
            </w:r>
            <w:bookmarkEnd w:id="66"/>
          </w:p>
        </w:tc>
        <w:tc>
          <w:tcPr>
            <w:tcW w:w="737" w:type="dxa"/>
            <w:vAlign w:val="center"/>
          </w:tcPr>
          <w:p>
            <w:pPr>
              <w:jc w:val="center"/>
              <w:rPr>
                <w:b/>
                <w:lang w:val="en-US"/>
              </w:rPr>
            </w:pPr>
            <w:bookmarkStart w:id="67" w:name="空气声得分"/>
            <w:r>
              <w:rPr>
                <w:rFonts w:hint="eastAsia"/>
                <w:b/>
                <w:lang w:val="en-US"/>
              </w:rPr>
              <w:t>5</w:t>
            </w:r>
            <w:bookmarkEnd w:id="67"/>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0"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8" w:name="撞击声控制项结论"/>
            <w:r>
              <w:rPr>
                <w:rFonts w:hint="eastAsia"/>
                <w:b/>
                <w:lang w:val="en-US"/>
              </w:rPr>
              <w:t>满足</w:t>
            </w:r>
            <w:bookmarkEnd w:id="68"/>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bookmarkStart w:id="69" w:name="室内撞击声条文内容"/>
            <w:bookmarkEnd w:id="69"/>
            <w:r>
              <w:rPr>
                <w:sz w:val="18"/>
                <w:szCs w:val="18"/>
              </w:rPr>
              <w:t>5.2.7 增加楼板厚度或采用浮筑楼板、弹性面层、隔声吊顶、阻尼板等措施加强楼板撞击声隔声性能，楼板的撞击声隔声性达到现行国家标准《民用建筑隔声设计规范》GB 50118 中的低限标准限值和高要求标准限值的平均值，且低于低限标准限值 3dB，得3 分；达到高要求标准限值，得 5 分。</w:t>
            </w:r>
          </w:p>
        </w:tc>
        <w:tc>
          <w:tcPr>
            <w:tcW w:w="1523" w:type="dxa"/>
            <w:vAlign w:val="center"/>
          </w:tcPr>
          <w:p>
            <w:pPr>
              <w:jc w:val="center"/>
              <w:rPr>
                <w:b/>
                <w:lang w:val="en-US"/>
              </w:rPr>
            </w:pPr>
            <w:bookmarkStart w:id="70" w:name="撞击声评分项结论"/>
            <w:r>
              <w:rPr>
                <w:rFonts w:hint="eastAsia"/>
                <w:b/>
                <w:lang w:val="en-US"/>
              </w:rPr>
              <w:t>满足平均要求</w:t>
            </w:r>
            <w:bookmarkEnd w:id="70"/>
          </w:p>
        </w:tc>
        <w:tc>
          <w:tcPr>
            <w:tcW w:w="737" w:type="dxa"/>
            <w:vAlign w:val="center"/>
          </w:tcPr>
          <w:p>
            <w:pPr>
              <w:jc w:val="center"/>
              <w:rPr>
                <w:b/>
                <w:lang w:val="en-US"/>
              </w:rPr>
            </w:pPr>
            <w:bookmarkStart w:id="71" w:name="撞击声得分"/>
            <w:r>
              <w:rPr>
                <w:rFonts w:hint="eastAsia"/>
                <w:b/>
                <w:lang w:val="en-US"/>
              </w:rPr>
              <w:t>3</w:t>
            </w:r>
            <w:bookmarkEnd w:id="7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bookmarkStart w:id="72" w:name="星级评价总结论"/>
            <w:r>
              <w:rPr>
                <w:rFonts w:hint="eastAsia"/>
                <w:b/>
                <w:lang w:val="en-US"/>
              </w:rPr>
              <w:t>二星级</w:t>
            </w:r>
            <w:bookmarkEnd w:id="72"/>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docVars>
    <w:docVar w:name="commondata" w:val="eyJoZGlkIjoiZWM4ZTExOWNlMTYwMjdiZWM5ZTUxOWY5MDVmZWQzNzkifQ=="/>
  </w:docVars>
  <w:rsids>
    <w:rsidRoot w:val="00217F62"/>
    <w:rsid w:val="001915A3"/>
    <w:rsid w:val="00217F62"/>
    <w:rsid w:val="00A906D8"/>
    <w:rsid w:val="00AB5A74"/>
    <w:rsid w:val="00F071AE"/>
    <w:rsid w:val="064E63E1"/>
    <w:rsid w:val="4B4B40F7"/>
    <w:rsid w:val="4CFC789D"/>
    <w:rsid w:val="4EAF30F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wmf"/><Relationship Id="rId24" Type="http://schemas.openxmlformats.org/officeDocument/2006/relationships/oleObject" Target="embeddings/oleObject4.bin"/><Relationship Id="rId23" Type="http://schemas.openxmlformats.org/officeDocument/2006/relationships/image" Target="media/image15.wmf"/><Relationship Id="rId22" Type="http://schemas.openxmlformats.org/officeDocument/2006/relationships/oleObject" Target="embeddings/oleObject3.bin"/><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6C84-0045-4B8B-A25B-21DD12257453}">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Company>ths</Company>
  <Pages>10</Pages>
  <Words>940</Words>
  <Characters>5361</Characters>
  <Lines>44</Lines>
  <Paragraphs>12</Paragraphs>
  <TotalTime>1</TotalTime>
  <ScaleCrop>false</ScaleCrop>
  <LinksUpToDate>false</LinksUpToDate>
  <CharactersWithSpaces>6289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二玲</cp:lastModifiedBy>
  <cp:lastPrinted>1900-12-31T16:00:00Z</cp:lastPrinted>
  <dcterms:modified xsi:type="dcterms:W3CDTF">2023-11-20T09:05:03Z</dcterms:modified>
  <dc:title>建筑构件隔声设计报告书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9E66B7E01B3048ABB3DCB0CB98C39E1C_12</vt:lpwstr>
  </property>
</Properties>
</file>