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numPr>
          <w:ilvl w:val="0"/>
          <w:numId w:val="0"/>
        </w:numPr>
      </w:pPr>
      <w:bookmarkStart w:id="0" w:name="_Toc76995304"/>
      <w:r>
        <w:t>建筑形体规则性判定报告</w:t>
      </w:r>
      <w:bookmarkEnd w:id="0"/>
    </w:p>
    <w:p>
      <w:pPr>
        <w:ind w:firstLine="560"/>
        <w:rPr>
          <w:rFonts w:ascii="宋体" w:hAnsi="宋体" w:cs="宋体"/>
          <w:b/>
          <w:color w:val="000000"/>
          <w:sz w:val="28"/>
          <w:szCs w:val="28"/>
        </w:rPr>
      </w:pPr>
      <w:r>
        <w:rPr>
          <w:rFonts w:hint="eastAsia" w:ascii="宋体" w:hAnsi="宋体" w:cs="宋体"/>
          <w:b/>
          <w:color w:val="000000"/>
          <w:sz w:val="28"/>
          <w:szCs w:val="28"/>
        </w:rPr>
        <w:t>一、项目概况</w:t>
      </w:r>
    </w:p>
    <w:tbl>
      <w:tblPr>
        <w:tblStyle w:val="5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8"/>
        <w:gridCol w:w="60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60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宋营大西帐集中安置区A区项目</w:t>
            </w:r>
            <w:r>
              <w:rPr>
                <w:rFonts w:hint="eastAsia"/>
                <w:lang w:val="en-US" w:eastAsia="zh-CN"/>
              </w:rPr>
              <w:t>-中学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建设地点</w:t>
            </w:r>
          </w:p>
        </w:tc>
        <w:tc>
          <w:tcPr>
            <w:tcW w:w="60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</w:pPr>
            <w:r>
              <w:rPr>
                <w:rFonts w:hint="eastAsia" w:hAnsi="宋体"/>
                <w:color w:val="000000"/>
              </w:rPr>
              <w:t>位于石家庄市秦岭大街以东、太行大街以西、规划路以北、槐安东路以南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建设单位</w:t>
            </w:r>
          </w:p>
        </w:tc>
        <w:tc>
          <w:tcPr>
            <w:tcW w:w="6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石家庄恒盈建设有限公司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设计单位</w:t>
            </w:r>
          </w:p>
        </w:tc>
        <w:tc>
          <w:tcPr>
            <w:tcW w:w="6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河北建筑设计研究院有限责任公司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建筑主要功能</w:t>
            </w:r>
          </w:p>
        </w:tc>
        <w:tc>
          <w:tcPr>
            <w:tcW w:w="6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教室、办公室等</w:t>
            </w:r>
            <w:bookmarkStart w:id="1" w:name="_GoBack"/>
            <w:bookmarkEnd w:id="1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建筑分类</w:t>
            </w:r>
          </w:p>
        </w:tc>
        <w:tc>
          <w:tcPr>
            <w:tcW w:w="6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多层公共建筑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设计工作年限</w:t>
            </w:r>
          </w:p>
        </w:tc>
        <w:tc>
          <w:tcPr>
            <w:tcW w:w="6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50年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建筑层数</w:t>
            </w:r>
          </w:p>
        </w:tc>
        <w:tc>
          <w:tcPr>
            <w:tcW w:w="6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</w:pPr>
            <w:r>
              <w:rPr>
                <w:rFonts w:hint="eastAsia"/>
                <w:lang w:val="en-US" w:eastAsia="zh-CN"/>
              </w:rPr>
              <w:t>5</w:t>
            </w:r>
            <w:r>
              <w:t>F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建筑高度</w:t>
            </w:r>
          </w:p>
        </w:tc>
        <w:tc>
          <w:tcPr>
            <w:tcW w:w="6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</w:pPr>
            <w:r>
              <w:rPr>
                <w:rFonts w:hint="eastAsia"/>
                <w:lang w:val="en-US" w:eastAsia="zh-CN"/>
              </w:rPr>
              <w:t>20.450</w:t>
            </w:r>
            <w:r>
              <w:rPr>
                <w:rFonts w:hint="eastAsia"/>
              </w:rPr>
              <w:t>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结构类型</w:t>
            </w:r>
          </w:p>
        </w:tc>
        <w:tc>
          <w:tcPr>
            <w:tcW w:w="6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钢筋混凝土框架结构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建筑抗震设防类别</w:t>
            </w:r>
          </w:p>
        </w:tc>
        <w:tc>
          <w:tcPr>
            <w:tcW w:w="6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重点设防类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抗震设防烈度</w:t>
            </w:r>
          </w:p>
        </w:tc>
        <w:tc>
          <w:tcPr>
            <w:tcW w:w="6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</w:pPr>
            <w:r>
              <w:t>7</w:t>
            </w:r>
            <w:r>
              <w:rPr>
                <w:rFonts w:hint="eastAsia"/>
              </w:rPr>
              <w:t>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设计地震分组</w:t>
            </w:r>
          </w:p>
        </w:tc>
        <w:tc>
          <w:tcPr>
            <w:tcW w:w="6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第二组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设计基本地震加速度</w:t>
            </w:r>
          </w:p>
        </w:tc>
        <w:tc>
          <w:tcPr>
            <w:tcW w:w="6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0.</w:t>
            </w:r>
            <w:r>
              <w:t>1</w:t>
            </w: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建筑物场地类别</w:t>
            </w:r>
          </w:p>
        </w:tc>
        <w:tc>
          <w:tcPr>
            <w:tcW w:w="6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III类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抗震等级</w:t>
            </w:r>
          </w:p>
        </w:tc>
        <w:tc>
          <w:tcPr>
            <w:tcW w:w="6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二级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地面粗糙度</w:t>
            </w:r>
          </w:p>
        </w:tc>
        <w:tc>
          <w:tcPr>
            <w:tcW w:w="6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B类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基本风压</w:t>
            </w:r>
          </w:p>
        </w:tc>
        <w:tc>
          <w:tcPr>
            <w:tcW w:w="6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0.3</w:t>
            </w:r>
            <w:r>
              <w:t>5</w:t>
            </w:r>
            <w:r>
              <w:rPr>
                <w:rFonts w:hint="eastAsia"/>
              </w:rPr>
              <w:t>KN/m2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基本雪压</w:t>
            </w:r>
          </w:p>
        </w:tc>
        <w:tc>
          <w:tcPr>
            <w:tcW w:w="6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0.3</w:t>
            </w:r>
            <w:r>
              <w:t>0</w:t>
            </w:r>
            <w:r>
              <w:rPr>
                <w:rFonts w:hint="eastAsia"/>
              </w:rPr>
              <w:t>KN/m2</w:t>
            </w:r>
          </w:p>
        </w:tc>
      </w:tr>
    </w:tbl>
    <w:p>
      <w:pPr>
        <w:ind w:firstLine="275" w:firstLineChars="98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>
        <w:rPr>
          <w:rFonts w:hint="eastAsia"/>
          <w:b/>
          <w:sz w:val="28"/>
          <w:szCs w:val="28"/>
        </w:rPr>
        <w:t>二、绿建评价标准要求</w:t>
      </w:r>
    </w:p>
    <w:p>
      <w:pPr>
        <w:ind w:firstLine="420"/>
      </w:pPr>
      <w:r>
        <w:rPr>
          <w:rFonts w:hint="eastAsia"/>
        </w:rPr>
        <w:t>1. 根据河北省《绿色建筑评价标准》DB13（J）/T 8427-2021的要求，应对建筑形体规则性进行判定，依据判定结果，赋予相应的评价得分。</w:t>
      </w:r>
    </w:p>
    <w:p>
      <w:pPr>
        <w:ind w:firstLine="420"/>
      </w:pPr>
      <w:r>
        <w:rPr>
          <w:rFonts w:hint="eastAsia"/>
        </w:rPr>
        <w:t>2.河北省《绿色建筑评价标准》DB13（J）/T 8427-2021条文原文如下：</w:t>
      </w:r>
    </w:p>
    <w:p>
      <w:pPr>
        <w:ind w:firstLine="420"/>
      </w:pPr>
      <w:r>
        <w:rPr>
          <w:rFonts w:hint="eastAsia"/>
        </w:rPr>
        <w:t>7.1.8</w:t>
      </w:r>
      <w:r>
        <w:tab/>
      </w:r>
      <w:r>
        <w:t>不应采用建筑形体和布置严重不规则的建筑结构。</w:t>
      </w:r>
    </w:p>
    <w:p>
      <w:pPr>
        <w:ind w:firstLine="275" w:firstLineChars="98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三、建筑形体规则性的判定</w:t>
      </w:r>
    </w:p>
    <w:p>
      <w:pPr>
        <w:ind w:firstLine="420"/>
      </w:pPr>
      <w:r>
        <w:rPr>
          <w:rFonts w:hint="eastAsia"/>
        </w:rPr>
        <w:t>1. 主要依据</w:t>
      </w:r>
    </w:p>
    <w:p>
      <w:pPr>
        <w:ind w:firstLine="420"/>
      </w:pPr>
      <w:r>
        <w:rPr>
          <w:rFonts w:hint="eastAsia"/>
        </w:rPr>
        <w:t>《结构计算书》</w:t>
      </w:r>
    </w:p>
    <w:p>
      <w:pPr>
        <w:ind w:firstLine="420"/>
      </w:pPr>
      <w:r>
        <w:rPr>
          <w:rFonts w:hint="eastAsia"/>
        </w:rPr>
        <w:t>《建筑抗震设计规范》GB 50011-2010</w:t>
      </w:r>
      <w:r>
        <w:t>—</w:t>
      </w:r>
      <w:r>
        <w:rPr>
          <w:rFonts w:hint="eastAsia"/>
        </w:rPr>
        <w:t>用于判断平面规则性</w:t>
      </w:r>
    </w:p>
    <w:p>
      <w:pPr>
        <w:ind w:firstLine="420"/>
      </w:pPr>
      <w:r>
        <w:rPr>
          <w:rFonts w:hint="eastAsia"/>
        </w:rPr>
        <w:t>2. 依据《建筑抗震设计规范》GB 50011-2010第3.4.1、3.4.3条及条文解释，建筑形体规则性的定义和参考指标如下：</w:t>
      </w:r>
    </w:p>
    <w:p>
      <w:pPr>
        <w:ind w:firstLine="480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表3.4.3-1   平面不规则的主要类型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4"/>
        <w:gridCol w:w="66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1" w:type="pct"/>
            <w:vAlign w:val="center"/>
          </w:tcPr>
          <w:p>
            <w:pPr>
              <w:pStyle w:val="7"/>
              <w:rPr>
                <w:b/>
              </w:rPr>
            </w:pPr>
            <w:r>
              <w:rPr>
                <w:rFonts w:hint="eastAsia"/>
              </w:rPr>
              <w:t>不规则类型</w:t>
            </w:r>
          </w:p>
        </w:tc>
        <w:tc>
          <w:tcPr>
            <w:tcW w:w="3889" w:type="pct"/>
            <w:vAlign w:val="center"/>
          </w:tcPr>
          <w:p>
            <w:pPr>
              <w:pStyle w:val="7"/>
              <w:rPr>
                <w:b/>
              </w:rPr>
            </w:pPr>
            <w:r>
              <w:rPr>
                <w:rFonts w:hint="eastAsia"/>
              </w:rPr>
              <w:t>定义和参考指标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1" w:type="pct"/>
            <w:vAlign w:val="center"/>
          </w:tcPr>
          <w:p>
            <w:pPr>
              <w:pStyle w:val="7"/>
              <w:rPr>
                <w:b/>
              </w:rPr>
            </w:pPr>
            <w:r>
              <w:rPr>
                <w:rFonts w:hint="eastAsia"/>
              </w:rPr>
              <w:t>扭转不规则</w:t>
            </w:r>
          </w:p>
        </w:tc>
        <w:tc>
          <w:tcPr>
            <w:tcW w:w="3889" w:type="pct"/>
            <w:vAlign w:val="center"/>
          </w:tcPr>
          <w:p>
            <w:pPr>
              <w:pStyle w:val="7"/>
              <w:rPr>
                <w:b/>
              </w:rPr>
            </w:pPr>
            <w:r>
              <w:rPr>
                <w:rFonts w:hint="eastAsia"/>
              </w:rPr>
              <w:t>在规定的水平力作用下，楼层的最大弹性水平位移（或层间位移），大于该楼层两端弹性水平位移（或层间位移）平均值的</w:t>
            </w:r>
            <w:r>
              <w:t>1.2</w:t>
            </w:r>
            <w:r>
              <w:rPr>
                <w:rFonts w:hint="eastAsia"/>
              </w:rPr>
              <w:t>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1" w:type="pct"/>
            <w:vAlign w:val="center"/>
          </w:tcPr>
          <w:p>
            <w:pPr>
              <w:pStyle w:val="7"/>
              <w:rPr>
                <w:b/>
              </w:rPr>
            </w:pPr>
            <w:r>
              <w:rPr>
                <w:rFonts w:hint="eastAsia"/>
              </w:rPr>
              <w:t>凹凸不规则</w:t>
            </w:r>
          </w:p>
        </w:tc>
        <w:tc>
          <w:tcPr>
            <w:tcW w:w="3889" w:type="pct"/>
            <w:vAlign w:val="center"/>
          </w:tcPr>
          <w:p>
            <w:pPr>
              <w:pStyle w:val="7"/>
              <w:rPr>
                <w:b/>
              </w:rPr>
            </w:pPr>
            <w:r>
              <w:rPr>
                <w:rFonts w:hint="eastAsia"/>
              </w:rPr>
              <w:t>平面凹进的尺寸，大于相应投影方向总尺寸的</w:t>
            </w:r>
            <w:r>
              <w:t>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1" w:type="pct"/>
            <w:vAlign w:val="center"/>
          </w:tcPr>
          <w:p>
            <w:pPr>
              <w:pStyle w:val="7"/>
              <w:rPr>
                <w:b/>
              </w:rPr>
            </w:pPr>
            <w:r>
              <w:rPr>
                <w:rFonts w:hint="eastAsia"/>
              </w:rPr>
              <w:t>楼板局部不连续</w:t>
            </w:r>
          </w:p>
        </w:tc>
        <w:tc>
          <w:tcPr>
            <w:tcW w:w="3889" w:type="pct"/>
            <w:vAlign w:val="center"/>
          </w:tcPr>
          <w:p>
            <w:pPr>
              <w:pStyle w:val="7"/>
              <w:rPr>
                <w:b/>
              </w:rPr>
            </w:pPr>
            <w:r>
              <w:rPr>
                <w:rFonts w:hint="eastAsia"/>
              </w:rPr>
              <w:t>楼板的尺寸和平面刚度急剧变化，例如，有效楼板宽度小于该层楼板典型宽度的</w:t>
            </w:r>
            <w:r>
              <w:t>50%</w:t>
            </w:r>
            <w:r>
              <w:rPr>
                <w:rFonts w:hint="eastAsia"/>
              </w:rPr>
              <w:t>，或开洞面积大于该层楼面面积的</w:t>
            </w:r>
            <w:r>
              <w:t>30%</w:t>
            </w:r>
            <w:r>
              <w:rPr>
                <w:rFonts w:hint="eastAsia"/>
              </w:rPr>
              <w:t>，或较大的楼层错层</w:t>
            </w:r>
          </w:p>
        </w:tc>
      </w:tr>
    </w:tbl>
    <w:p>
      <w:pPr>
        <w:ind w:firstLine="420"/>
        <w:jc w:val="center"/>
        <w:rPr>
          <w:rFonts w:ascii="宋体" w:hAnsi="宋体"/>
          <w:b/>
          <w:szCs w:val="21"/>
        </w:rPr>
      </w:pPr>
    </w:p>
    <w:p>
      <w:pPr>
        <w:ind w:firstLine="480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表3.4.3-2   竖向不规则的主要类型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4"/>
        <w:gridCol w:w="66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1" w:type="pct"/>
            <w:vAlign w:val="center"/>
          </w:tcPr>
          <w:p>
            <w:pPr>
              <w:pStyle w:val="7"/>
              <w:rPr>
                <w:b/>
              </w:rPr>
            </w:pPr>
            <w:r>
              <w:rPr>
                <w:rFonts w:hint="eastAsia"/>
              </w:rPr>
              <w:t>不规则类型</w:t>
            </w:r>
          </w:p>
        </w:tc>
        <w:tc>
          <w:tcPr>
            <w:tcW w:w="3889" w:type="pct"/>
            <w:vAlign w:val="center"/>
          </w:tcPr>
          <w:p>
            <w:pPr>
              <w:pStyle w:val="7"/>
              <w:rPr>
                <w:b/>
              </w:rPr>
            </w:pPr>
            <w:r>
              <w:rPr>
                <w:rFonts w:hint="eastAsia"/>
              </w:rPr>
              <w:t>定义和参考指标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1" w:type="pct"/>
            <w:vAlign w:val="center"/>
          </w:tcPr>
          <w:p>
            <w:pPr>
              <w:pStyle w:val="7"/>
              <w:rPr>
                <w:b/>
              </w:rPr>
            </w:pPr>
            <w:r>
              <w:rPr>
                <w:rFonts w:hint="eastAsia"/>
              </w:rPr>
              <w:t>侧向刚度不规则</w:t>
            </w:r>
          </w:p>
        </w:tc>
        <w:tc>
          <w:tcPr>
            <w:tcW w:w="3889" w:type="pct"/>
            <w:vAlign w:val="center"/>
          </w:tcPr>
          <w:p>
            <w:pPr>
              <w:pStyle w:val="7"/>
              <w:rPr>
                <w:b/>
              </w:rPr>
            </w:pPr>
            <w:r>
              <w:rPr>
                <w:rFonts w:hint="eastAsia"/>
              </w:rPr>
              <w:t>该层的侧向刚度小于相邻上一层的</w:t>
            </w:r>
            <w:r>
              <w:t>70%</w:t>
            </w:r>
            <w:r>
              <w:rPr>
                <w:rFonts w:hint="eastAsia"/>
              </w:rPr>
              <w:t>，或小于其上相邻三个楼层侧向刚度平均值的</w:t>
            </w:r>
            <w:r>
              <w:t>80%</w:t>
            </w:r>
            <w:r>
              <w:rPr>
                <w:rFonts w:hint="eastAsia"/>
              </w:rPr>
              <w:t>；除顶层或出屋面小建筑外，局部收进的水平向尺寸大于相邻下一层的</w:t>
            </w:r>
            <w:r>
              <w:t>25%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1" w:type="pct"/>
            <w:vAlign w:val="center"/>
          </w:tcPr>
          <w:p>
            <w:pPr>
              <w:pStyle w:val="7"/>
              <w:rPr>
                <w:b/>
              </w:rPr>
            </w:pPr>
            <w:r>
              <w:rPr>
                <w:rFonts w:hint="eastAsia"/>
              </w:rPr>
              <w:t>竖向抗侧力构件不连续</w:t>
            </w:r>
          </w:p>
        </w:tc>
        <w:tc>
          <w:tcPr>
            <w:tcW w:w="3889" w:type="pct"/>
            <w:vAlign w:val="center"/>
          </w:tcPr>
          <w:p>
            <w:pPr>
              <w:pStyle w:val="7"/>
              <w:rPr>
                <w:b/>
              </w:rPr>
            </w:pPr>
            <w:r>
              <w:rPr>
                <w:rFonts w:hint="eastAsia"/>
              </w:rPr>
              <w:t>竖向抗侧力构件（柱、抗震墙、抗震支撑）的内力由水平转换构件（梁、桁架等）向下传递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1" w:type="pct"/>
            <w:vAlign w:val="center"/>
          </w:tcPr>
          <w:p>
            <w:pPr>
              <w:pStyle w:val="7"/>
              <w:rPr>
                <w:b/>
              </w:rPr>
            </w:pPr>
            <w:r>
              <w:rPr>
                <w:rFonts w:hint="eastAsia"/>
              </w:rPr>
              <w:t>楼层承载力突变</w:t>
            </w:r>
          </w:p>
        </w:tc>
        <w:tc>
          <w:tcPr>
            <w:tcW w:w="3889" w:type="pct"/>
            <w:vAlign w:val="center"/>
          </w:tcPr>
          <w:p>
            <w:pPr>
              <w:pStyle w:val="7"/>
              <w:rPr>
                <w:b/>
              </w:rPr>
            </w:pPr>
            <w:r>
              <w:rPr>
                <w:rFonts w:hint="eastAsia"/>
              </w:rPr>
              <w:t>抗侧力结构的层间受剪承载力小于相邻上一楼层的</w:t>
            </w:r>
            <w:r>
              <w:t>80%</w:t>
            </w:r>
          </w:p>
        </w:tc>
      </w:tr>
    </w:tbl>
    <w:p>
      <w:pPr>
        <w:ind w:firstLine="480"/>
        <w:jc w:val="center"/>
        <w:rPr>
          <w:rFonts w:ascii="宋体" w:hAnsi="宋体"/>
          <w:sz w:val="24"/>
        </w:rPr>
      </w:pPr>
    </w:p>
    <w:p>
      <w:pPr>
        <w:ind w:firstLine="480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表3.4.1   特别不规则的项目举例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1515"/>
        <w:gridCol w:w="64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3" w:type="pct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序</w:t>
            </w:r>
          </w:p>
        </w:tc>
        <w:tc>
          <w:tcPr>
            <w:tcW w:w="889" w:type="pct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不规则类型</w:t>
            </w:r>
          </w:p>
        </w:tc>
        <w:tc>
          <w:tcPr>
            <w:tcW w:w="3778" w:type="pct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简要涵义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3" w:type="pct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1</w:t>
            </w:r>
          </w:p>
        </w:tc>
        <w:tc>
          <w:tcPr>
            <w:tcW w:w="889" w:type="pct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扭转偏大</w:t>
            </w:r>
          </w:p>
        </w:tc>
        <w:tc>
          <w:tcPr>
            <w:tcW w:w="3778" w:type="pct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裙房以上有较多楼层考虑偶然偏心的扭转位移比大于1.4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3" w:type="pct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2</w:t>
            </w:r>
          </w:p>
        </w:tc>
        <w:tc>
          <w:tcPr>
            <w:tcW w:w="889" w:type="pct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抗扭刚度弱</w:t>
            </w:r>
          </w:p>
        </w:tc>
        <w:tc>
          <w:tcPr>
            <w:tcW w:w="3778" w:type="pct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扭转周期比大于0.9，混合结构扭转周期比大于0.85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3" w:type="pct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3</w:t>
            </w:r>
          </w:p>
        </w:tc>
        <w:tc>
          <w:tcPr>
            <w:tcW w:w="889" w:type="pct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层刚度偏小</w:t>
            </w:r>
          </w:p>
        </w:tc>
        <w:tc>
          <w:tcPr>
            <w:tcW w:w="3778" w:type="pct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本层侧向刚度小于相邻上层的50%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3" w:type="pct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4</w:t>
            </w:r>
          </w:p>
        </w:tc>
        <w:tc>
          <w:tcPr>
            <w:tcW w:w="889" w:type="pct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高位转换</w:t>
            </w:r>
          </w:p>
        </w:tc>
        <w:tc>
          <w:tcPr>
            <w:tcW w:w="3778" w:type="pct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框支墙体的转换构件位置：7度超过5层，8度超过3层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3" w:type="pct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5</w:t>
            </w:r>
          </w:p>
        </w:tc>
        <w:tc>
          <w:tcPr>
            <w:tcW w:w="889" w:type="pct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厚板转换</w:t>
            </w:r>
          </w:p>
        </w:tc>
        <w:tc>
          <w:tcPr>
            <w:tcW w:w="3778" w:type="pct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7～9度设防的厚板转换结构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3" w:type="pct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6</w:t>
            </w:r>
          </w:p>
        </w:tc>
        <w:tc>
          <w:tcPr>
            <w:tcW w:w="889" w:type="pct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塔楼偏置</w:t>
            </w:r>
          </w:p>
        </w:tc>
        <w:tc>
          <w:tcPr>
            <w:tcW w:w="3778" w:type="pct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单塔或多塔合质心与大底盘的质心偏心距大于底盘相应边长20%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3" w:type="pct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7</w:t>
            </w:r>
          </w:p>
        </w:tc>
        <w:tc>
          <w:tcPr>
            <w:tcW w:w="889" w:type="pct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复杂连接</w:t>
            </w:r>
          </w:p>
        </w:tc>
        <w:tc>
          <w:tcPr>
            <w:tcW w:w="3778" w:type="pct"/>
            <w:vAlign w:val="center"/>
          </w:tcPr>
          <w:p>
            <w:pPr>
              <w:pStyle w:val="7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各部分层数、刚度、布置不同的错层或连体两端塔楼显著不规则的结构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3" w:type="pct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8</w:t>
            </w:r>
          </w:p>
        </w:tc>
        <w:tc>
          <w:tcPr>
            <w:tcW w:w="889" w:type="pct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多重复杂</w:t>
            </w:r>
          </w:p>
        </w:tc>
        <w:tc>
          <w:tcPr>
            <w:tcW w:w="3778" w:type="pct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同时具有转换层、加强层、错层、连体和多塔类型中2种以上</w:t>
            </w:r>
          </w:p>
        </w:tc>
      </w:tr>
    </w:tbl>
    <w:p>
      <w:pPr>
        <w:spacing w:line="440" w:lineRule="exact"/>
        <w:ind w:firstLine="480"/>
        <w:rPr>
          <w:rFonts w:ascii="宋体" w:hAnsi="宋体"/>
          <w:sz w:val="24"/>
        </w:rPr>
      </w:pPr>
    </w:p>
    <w:p>
      <w:pPr>
        <w:ind w:firstLine="420"/>
      </w:pPr>
      <w:r>
        <w:rPr>
          <w:rFonts w:hint="eastAsia"/>
        </w:rPr>
        <w:t>3. 依据《建筑抗震设计规范》GB 50011-2010第3.4.1条及条文解释，建筑形体规则性分为：规则、不规则，特别不规则、严重不规则，判定标准如下：</w:t>
      </w:r>
    </w:p>
    <w:p>
      <w:pPr>
        <w:spacing w:line="440" w:lineRule="exact"/>
        <w:ind w:firstLine="480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规则性判定标准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6"/>
        <w:gridCol w:w="7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8" w:type="pct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规则类型</w:t>
            </w:r>
          </w:p>
        </w:tc>
        <w:tc>
          <w:tcPr>
            <w:tcW w:w="4222" w:type="pct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判定标准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8" w:type="pct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规则</w:t>
            </w:r>
          </w:p>
        </w:tc>
        <w:tc>
          <w:tcPr>
            <w:tcW w:w="4222" w:type="pct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指表3.4.3所列举的不规则类型，均不存在。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8" w:type="pct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不规则</w:t>
            </w:r>
          </w:p>
        </w:tc>
        <w:tc>
          <w:tcPr>
            <w:tcW w:w="4222" w:type="pct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指表3.4.3所列举的不规则类型，存在二个（含）及以下。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8" w:type="pct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特别</w:t>
            </w:r>
          </w:p>
          <w:p>
            <w:pPr>
              <w:pStyle w:val="7"/>
            </w:pPr>
            <w:r>
              <w:rPr>
                <w:rFonts w:hint="eastAsia"/>
              </w:rPr>
              <w:t>不规则</w:t>
            </w:r>
          </w:p>
        </w:tc>
        <w:tc>
          <w:tcPr>
            <w:tcW w:w="4222" w:type="pct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指具有较明显的抗震微弱部位，可能引起不良后果者，其参考界限可参见《超限高层建筑工程抗震设防专项审查技术要点》，通常有三类：其一，同时具有表3.4.3所列六个主要不规则类型的三个或三个以上；其二，具有表3.4.1所列的一项不规则；其三，具有表3.4.3所列两个方面的基本不规则且其中有一项接近表3.4.1的不规则指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8" w:type="pct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严重</w:t>
            </w:r>
          </w:p>
          <w:p>
            <w:pPr>
              <w:pStyle w:val="7"/>
            </w:pPr>
            <w:r>
              <w:rPr>
                <w:rFonts w:hint="eastAsia"/>
              </w:rPr>
              <w:t>不规则</w:t>
            </w:r>
          </w:p>
        </w:tc>
        <w:tc>
          <w:tcPr>
            <w:tcW w:w="4222" w:type="pct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指的是形体复杂，多项不规则指标超过《建筑抗震设计规范》第3.4.4条上限值或某一项大大超过规定值，具有现有技术和经济条件不能克服的严重的抗震薄弱环节，可能导致地震破坏的严重后果者。</w:t>
            </w:r>
          </w:p>
        </w:tc>
      </w:tr>
    </w:tbl>
    <w:p>
      <w:pPr>
        <w:ind w:firstLine="600" w:firstLineChars="250"/>
        <w:rPr>
          <w:rFonts w:ascii="宋体" w:hAnsi="宋体"/>
          <w:sz w:val="24"/>
        </w:rPr>
      </w:pPr>
    </w:p>
    <w:p>
      <w:pPr>
        <w:ind w:firstLine="525" w:firstLineChars="250"/>
      </w:pPr>
      <w:r>
        <w:rPr>
          <w:rFonts w:hint="eastAsia"/>
        </w:rPr>
        <w:t>4</w:t>
      </w:r>
      <w:r>
        <w:t>.</w:t>
      </w:r>
      <w:r>
        <w:rPr>
          <w:rFonts w:hint="eastAsia"/>
        </w:rPr>
        <w:t>本项目建筑基本情况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0"/>
        <w:gridCol w:w="992"/>
        <w:gridCol w:w="992"/>
        <w:gridCol w:w="993"/>
        <w:gridCol w:w="1134"/>
        <w:gridCol w:w="708"/>
        <w:gridCol w:w="10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vMerge w:val="restart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楼号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层数</w:t>
            </w:r>
          </w:p>
          <w:p>
            <w:pPr>
              <w:pStyle w:val="7"/>
            </w:pPr>
            <w:r>
              <w:rPr>
                <w:rFonts w:hint="eastAsia"/>
              </w:rPr>
              <w:t>（地下/地上）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主体高度</w:t>
            </w:r>
          </w:p>
        </w:tc>
        <w:tc>
          <w:tcPr>
            <w:tcW w:w="2127" w:type="dxa"/>
            <w:gridSpan w:val="2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房屋平面尺寸</w:t>
            </w:r>
          </w:p>
        </w:tc>
        <w:tc>
          <w:tcPr>
            <w:tcW w:w="708" w:type="dxa"/>
            <w:vMerge w:val="restart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抗震缝</w:t>
            </w:r>
          </w:p>
        </w:tc>
        <w:tc>
          <w:tcPr>
            <w:tcW w:w="1043" w:type="dxa"/>
            <w:vMerge w:val="restart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结构类型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vMerge w:val="continue"/>
            <w:vAlign w:val="center"/>
          </w:tcPr>
          <w:p>
            <w:pPr>
              <w:pStyle w:val="7"/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7"/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7"/>
            </w:pPr>
          </w:p>
        </w:tc>
        <w:tc>
          <w:tcPr>
            <w:tcW w:w="993" w:type="dxa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长度（m）</w:t>
            </w:r>
          </w:p>
        </w:tc>
        <w:tc>
          <w:tcPr>
            <w:tcW w:w="1134" w:type="dxa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宽度（m）</w:t>
            </w:r>
          </w:p>
        </w:tc>
        <w:tc>
          <w:tcPr>
            <w:tcW w:w="708" w:type="dxa"/>
            <w:vMerge w:val="continue"/>
            <w:vAlign w:val="center"/>
          </w:tcPr>
          <w:p>
            <w:pPr>
              <w:pStyle w:val="7"/>
            </w:pPr>
          </w:p>
        </w:tc>
        <w:tc>
          <w:tcPr>
            <w:tcW w:w="1043" w:type="dxa"/>
            <w:vMerge w:val="continue"/>
            <w:vAlign w:val="center"/>
          </w:tcPr>
          <w:p>
            <w:pPr>
              <w:pStyle w:val="7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2660" w:type="dxa"/>
            <w:vAlign w:val="center"/>
          </w:tcPr>
          <w:p>
            <w:pPr>
              <w:pStyle w:val="7"/>
              <w:rPr>
                <w:rFonts w:hint="default" w:eastAsia="宋体"/>
                <w:szCs w:val="20"/>
                <w:lang w:val="en-US" w:eastAsia="zh-CN"/>
              </w:rPr>
            </w:pPr>
            <w:r>
              <w:rPr>
                <w:rFonts w:hint="eastAsia"/>
                <w:szCs w:val="20"/>
              </w:rPr>
              <w:t>教学</w:t>
            </w:r>
            <w:r>
              <w:rPr>
                <w:rFonts w:hint="eastAsia"/>
                <w:szCs w:val="20"/>
                <w:lang w:eastAsia="zh-CN"/>
              </w:rPr>
              <w:t>综合</w:t>
            </w:r>
            <w:r>
              <w:rPr>
                <w:rFonts w:hint="eastAsia"/>
                <w:szCs w:val="20"/>
              </w:rPr>
              <w:t>楼</w:t>
            </w:r>
          </w:p>
        </w:tc>
        <w:tc>
          <w:tcPr>
            <w:tcW w:w="992" w:type="dxa"/>
            <w:vAlign w:val="center"/>
          </w:tcPr>
          <w:p>
            <w:pPr>
              <w:pStyle w:val="7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992" w:type="dxa"/>
            <w:vAlign w:val="center"/>
          </w:tcPr>
          <w:p>
            <w:pPr>
              <w:pStyle w:val="7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20.450</w:t>
            </w:r>
          </w:p>
        </w:tc>
        <w:tc>
          <w:tcPr>
            <w:tcW w:w="993" w:type="dxa"/>
            <w:vAlign w:val="center"/>
          </w:tcPr>
          <w:p>
            <w:pPr>
              <w:pStyle w:val="7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67.440</w:t>
            </w:r>
          </w:p>
        </w:tc>
        <w:tc>
          <w:tcPr>
            <w:tcW w:w="1134" w:type="dxa"/>
            <w:vAlign w:val="center"/>
          </w:tcPr>
          <w:p>
            <w:pPr>
              <w:pStyle w:val="7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137.900</w:t>
            </w:r>
          </w:p>
        </w:tc>
        <w:tc>
          <w:tcPr>
            <w:tcW w:w="708" w:type="dxa"/>
            <w:vAlign w:val="center"/>
          </w:tcPr>
          <w:p>
            <w:pPr>
              <w:pStyle w:val="7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两道</w:t>
            </w:r>
          </w:p>
        </w:tc>
        <w:tc>
          <w:tcPr>
            <w:tcW w:w="1043" w:type="dxa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框架</w:t>
            </w:r>
          </w:p>
        </w:tc>
      </w:tr>
    </w:tbl>
    <w:p>
      <w:pPr>
        <w:ind w:firstLine="420"/>
        <w:rPr>
          <w:rFonts w:hint="eastAsia" w:eastAsia="微软雅黑"/>
          <w:lang w:eastAsia="zh-CN"/>
        </w:rPr>
      </w:pPr>
      <w:r>
        <w:t>5</w:t>
      </w:r>
      <w:r>
        <w:rPr>
          <w:rFonts w:hint="eastAsia"/>
        </w:rPr>
        <w:t>. 本项目建筑形体规则性判定表</w:t>
      </w:r>
      <w:r>
        <w:rPr>
          <w:rFonts w:hint="eastAsia"/>
          <w:lang w:eastAsia="zh-CN"/>
        </w:rPr>
        <w:t>（以设缝后</w:t>
      </w:r>
      <w:r>
        <w:rPr>
          <w:rFonts w:hint="eastAsia"/>
          <w:lang w:val="en-US" w:eastAsia="zh-CN"/>
        </w:rPr>
        <w:t>E~M轴为代表</w:t>
      </w:r>
      <w:r>
        <w:rPr>
          <w:rFonts w:hint="eastAsia"/>
          <w:lang w:eastAsia="zh-CN"/>
        </w:rPr>
        <w:t>）</w:t>
      </w:r>
    </w:p>
    <w:p>
      <w:pPr>
        <w:spacing w:line="440" w:lineRule="exact"/>
        <w:ind w:firstLine="0" w:firstLineChars="0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扭转不规则判定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203"/>
        <w:gridCol w:w="1412"/>
        <w:gridCol w:w="1413"/>
        <w:gridCol w:w="1413"/>
        <w:gridCol w:w="14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restart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楼栋号</w:t>
            </w:r>
          </w:p>
        </w:tc>
        <w:tc>
          <w:tcPr>
            <w:tcW w:w="2615" w:type="dxa"/>
            <w:gridSpan w:val="2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最大层间侧移（△u</w:t>
            </w:r>
            <w:r>
              <w:t>/</w:t>
            </w:r>
            <w:r>
              <w:rPr>
                <w:rFonts w:hint="eastAsia"/>
              </w:rPr>
              <w:t>h）</w:t>
            </w:r>
          </w:p>
        </w:tc>
        <w:tc>
          <w:tcPr>
            <w:tcW w:w="2826" w:type="dxa"/>
            <w:gridSpan w:val="2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最大层间侧移与平均位移比值</w:t>
            </w:r>
          </w:p>
        </w:tc>
        <w:tc>
          <w:tcPr>
            <w:tcW w:w="1413" w:type="dxa"/>
            <w:vMerge w:val="restart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判定结论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continue"/>
            <w:vAlign w:val="center"/>
          </w:tcPr>
          <w:p>
            <w:pPr>
              <w:pStyle w:val="7"/>
            </w:pPr>
          </w:p>
        </w:tc>
        <w:tc>
          <w:tcPr>
            <w:tcW w:w="1203" w:type="dxa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X向</w:t>
            </w:r>
          </w:p>
        </w:tc>
        <w:tc>
          <w:tcPr>
            <w:tcW w:w="1412" w:type="dxa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Y向</w:t>
            </w:r>
          </w:p>
        </w:tc>
        <w:tc>
          <w:tcPr>
            <w:tcW w:w="1413" w:type="dxa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X向</w:t>
            </w:r>
          </w:p>
        </w:tc>
        <w:tc>
          <w:tcPr>
            <w:tcW w:w="1413" w:type="dxa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Y向</w:t>
            </w:r>
          </w:p>
        </w:tc>
        <w:tc>
          <w:tcPr>
            <w:tcW w:w="1413" w:type="dxa"/>
            <w:vMerge w:val="continue"/>
            <w:vAlign w:val="center"/>
          </w:tcPr>
          <w:p>
            <w:pPr>
              <w:pStyle w:val="7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pStyle w:val="7"/>
            </w:pPr>
            <w:r>
              <w:rPr>
                <w:rFonts w:hint="eastAsia"/>
                <w:szCs w:val="20"/>
              </w:rPr>
              <w:t>教学</w:t>
            </w:r>
            <w:r>
              <w:rPr>
                <w:rFonts w:hint="eastAsia"/>
                <w:szCs w:val="20"/>
                <w:lang w:eastAsia="zh-CN"/>
              </w:rPr>
              <w:t>综合</w:t>
            </w:r>
            <w:r>
              <w:rPr>
                <w:rFonts w:hint="eastAsia"/>
                <w:szCs w:val="20"/>
              </w:rPr>
              <w:t>楼</w:t>
            </w:r>
            <w:r>
              <w:rPr>
                <w:rFonts w:hint="eastAsia"/>
                <w:szCs w:val="20"/>
                <w:lang w:val="en-US" w:eastAsia="zh-CN"/>
              </w:rPr>
              <w:t>E~M轴</w:t>
            </w:r>
          </w:p>
        </w:tc>
        <w:tc>
          <w:tcPr>
            <w:tcW w:w="1203" w:type="dxa"/>
            <w:vAlign w:val="center"/>
          </w:tcPr>
          <w:p>
            <w:pPr>
              <w:pStyle w:val="7"/>
              <w:rPr>
                <w:rFonts w:hint="default" w:eastAsia="宋体"/>
                <w:lang w:val="en-US" w:eastAsia="zh-CN"/>
              </w:rPr>
            </w:pPr>
            <w:r>
              <w:t>1/</w:t>
            </w:r>
            <w:r>
              <w:rPr>
                <w:rFonts w:hint="eastAsia"/>
                <w:lang w:val="en-US" w:eastAsia="zh-CN"/>
              </w:rPr>
              <w:t>1179</w:t>
            </w:r>
          </w:p>
        </w:tc>
        <w:tc>
          <w:tcPr>
            <w:tcW w:w="1412" w:type="dxa"/>
            <w:vAlign w:val="center"/>
          </w:tcPr>
          <w:p>
            <w:pPr>
              <w:pStyle w:val="7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1</w:t>
            </w:r>
            <w:r>
              <w:t>/</w:t>
            </w:r>
            <w:r>
              <w:rPr>
                <w:rFonts w:hint="eastAsia"/>
                <w:lang w:val="en-US" w:eastAsia="zh-CN"/>
              </w:rPr>
              <w:t>1323</w:t>
            </w:r>
          </w:p>
        </w:tc>
        <w:tc>
          <w:tcPr>
            <w:tcW w:w="1413" w:type="dxa"/>
            <w:vAlign w:val="center"/>
          </w:tcPr>
          <w:p>
            <w:pPr>
              <w:pStyle w:val="7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1.</w:t>
            </w: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1413" w:type="dxa"/>
            <w:vAlign w:val="center"/>
          </w:tcPr>
          <w:p>
            <w:pPr>
              <w:pStyle w:val="7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1.</w:t>
            </w:r>
            <w:r>
              <w:rPr>
                <w:rFonts w:hint="eastAsia"/>
                <w:lang w:val="en-US" w:eastAsia="zh-CN"/>
              </w:rPr>
              <w:t>23</w:t>
            </w:r>
          </w:p>
        </w:tc>
        <w:tc>
          <w:tcPr>
            <w:tcW w:w="1413" w:type="dxa"/>
            <w:vAlign w:val="center"/>
          </w:tcPr>
          <w:p>
            <w:pPr>
              <w:pStyle w:val="7"/>
            </w:pPr>
            <w:r>
              <w:rPr>
                <w:rFonts w:hint="eastAsia"/>
                <w:szCs w:val="21"/>
              </w:rPr>
              <w:t>扭转不规则</w:t>
            </w:r>
          </w:p>
        </w:tc>
      </w:tr>
    </w:tbl>
    <w:p>
      <w:pPr>
        <w:spacing w:line="440" w:lineRule="exact"/>
        <w:ind w:firstLine="0" w:firstLineChars="0"/>
        <w:jc w:val="center"/>
        <w:rPr>
          <w:rFonts w:ascii="宋体" w:hAnsi="宋体"/>
          <w:b/>
          <w:sz w:val="24"/>
        </w:rPr>
      </w:pPr>
    </w:p>
    <w:p>
      <w:pPr>
        <w:spacing w:line="440" w:lineRule="exact"/>
        <w:ind w:firstLine="0" w:firstLineChars="0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凹凸不规则判定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4253"/>
        <w:gridCol w:w="2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4" w:hRule="atLeast"/>
        </w:trPr>
        <w:tc>
          <w:tcPr>
            <w:tcW w:w="1951" w:type="dxa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楼栋号</w:t>
            </w:r>
          </w:p>
        </w:tc>
        <w:tc>
          <w:tcPr>
            <w:tcW w:w="4253" w:type="dxa"/>
            <w:vAlign w:val="center"/>
          </w:tcPr>
          <w:p>
            <w:pPr>
              <w:pStyle w:val="7"/>
            </w:pPr>
            <w:r>
              <w:rPr>
                <w:rFonts w:hint="eastAsia" w:cs="宋体"/>
                <w:color w:val="000000"/>
                <w:szCs w:val="21"/>
              </w:rPr>
              <w:t>平面凹进的尺寸占相应投影方向总尺寸的百分比</w:t>
            </w:r>
          </w:p>
        </w:tc>
        <w:tc>
          <w:tcPr>
            <w:tcW w:w="2318" w:type="dxa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判定结论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Align w:val="center"/>
          </w:tcPr>
          <w:p>
            <w:pPr>
              <w:pStyle w:val="7"/>
            </w:pPr>
            <w:r>
              <w:rPr>
                <w:rFonts w:hint="eastAsia"/>
                <w:szCs w:val="20"/>
              </w:rPr>
              <w:t>教学</w:t>
            </w:r>
            <w:r>
              <w:rPr>
                <w:rFonts w:hint="eastAsia"/>
                <w:szCs w:val="20"/>
                <w:lang w:eastAsia="zh-CN"/>
              </w:rPr>
              <w:t>综合</w:t>
            </w:r>
            <w:r>
              <w:rPr>
                <w:rFonts w:hint="eastAsia"/>
                <w:szCs w:val="20"/>
              </w:rPr>
              <w:t>楼</w:t>
            </w:r>
            <w:r>
              <w:rPr>
                <w:rFonts w:hint="eastAsia"/>
                <w:szCs w:val="20"/>
                <w:lang w:val="en-US" w:eastAsia="zh-CN"/>
              </w:rPr>
              <w:t>E~M轴</w:t>
            </w:r>
          </w:p>
        </w:tc>
        <w:tc>
          <w:tcPr>
            <w:tcW w:w="4253" w:type="dxa"/>
            <w:vAlign w:val="center"/>
          </w:tcPr>
          <w:p>
            <w:pPr>
              <w:pStyle w:val="7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0.</w:t>
            </w:r>
            <w:r>
              <w:rPr>
                <w:rFonts w:hint="eastAsia"/>
                <w:lang w:val="en-US" w:eastAsia="zh-CN"/>
              </w:rPr>
              <w:t>63</w:t>
            </w:r>
          </w:p>
        </w:tc>
        <w:tc>
          <w:tcPr>
            <w:tcW w:w="2318" w:type="dxa"/>
            <w:vAlign w:val="center"/>
          </w:tcPr>
          <w:p>
            <w:pPr>
              <w:pStyle w:val="7"/>
            </w:pPr>
            <w:r>
              <w:rPr>
                <w:rFonts w:hint="eastAsia"/>
                <w:szCs w:val="21"/>
                <w:lang w:eastAsia="zh-CN"/>
              </w:rPr>
              <w:t>凹凸</w:t>
            </w:r>
            <w:r>
              <w:rPr>
                <w:rFonts w:hint="eastAsia"/>
                <w:szCs w:val="21"/>
              </w:rPr>
              <w:t>不规则</w:t>
            </w:r>
          </w:p>
        </w:tc>
      </w:tr>
    </w:tbl>
    <w:p>
      <w:pPr>
        <w:spacing w:line="440" w:lineRule="exact"/>
        <w:ind w:firstLine="480"/>
        <w:rPr>
          <w:rFonts w:ascii="宋体" w:hAnsi="宋体"/>
          <w:b/>
          <w:sz w:val="24"/>
        </w:rPr>
      </w:pPr>
    </w:p>
    <w:p>
      <w:pPr>
        <w:spacing w:line="440" w:lineRule="exact"/>
        <w:ind w:firstLine="0" w:firstLineChars="0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楼板不连续判定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514"/>
        <w:gridCol w:w="1582"/>
        <w:gridCol w:w="1582"/>
        <w:gridCol w:w="2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4" w:hRule="atLeast"/>
        </w:trPr>
        <w:tc>
          <w:tcPr>
            <w:tcW w:w="1526" w:type="dxa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楼栋号</w:t>
            </w:r>
          </w:p>
        </w:tc>
        <w:tc>
          <w:tcPr>
            <w:tcW w:w="1514" w:type="dxa"/>
            <w:vAlign w:val="center"/>
          </w:tcPr>
          <w:p>
            <w:pPr>
              <w:pStyle w:val="7"/>
            </w:pPr>
            <w:r>
              <w:rPr>
                <w:rFonts w:hint="eastAsia" w:cs="宋体"/>
                <w:color w:val="000000"/>
                <w:szCs w:val="21"/>
              </w:rPr>
              <w:t>有效楼板宽度与该层楼板典型宽度百分比</w:t>
            </w:r>
          </w:p>
        </w:tc>
        <w:tc>
          <w:tcPr>
            <w:tcW w:w="1582" w:type="dxa"/>
            <w:vAlign w:val="center"/>
          </w:tcPr>
          <w:p>
            <w:pPr>
              <w:pStyle w:val="7"/>
            </w:pPr>
            <w:r>
              <w:rPr>
                <w:rFonts w:hint="eastAsia" w:cs="宋体"/>
                <w:color w:val="000000"/>
                <w:szCs w:val="21"/>
              </w:rPr>
              <w:t>开洞面积与该层楼面面积的百分比</w:t>
            </w:r>
          </w:p>
        </w:tc>
        <w:tc>
          <w:tcPr>
            <w:tcW w:w="1582" w:type="dxa"/>
            <w:vAlign w:val="center"/>
          </w:tcPr>
          <w:p>
            <w:pPr>
              <w:pStyle w:val="7"/>
            </w:pPr>
            <w:r>
              <w:rPr>
                <w:rFonts w:hint="eastAsia" w:cs="宋体"/>
                <w:color w:val="000000"/>
                <w:szCs w:val="21"/>
              </w:rPr>
              <w:t>楼层错层</w:t>
            </w:r>
          </w:p>
        </w:tc>
        <w:tc>
          <w:tcPr>
            <w:tcW w:w="2318" w:type="dxa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判定结论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pStyle w:val="7"/>
            </w:pPr>
            <w:r>
              <w:rPr>
                <w:rFonts w:hint="eastAsia"/>
                <w:szCs w:val="20"/>
              </w:rPr>
              <w:t>教学</w:t>
            </w:r>
            <w:r>
              <w:rPr>
                <w:rFonts w:hint="eastAsia"/>
                <w:szCs w:val="20"/>
                <w:lang w:eastAsia="zh-CN"/>
              </w:rPr>
              <w:t>综合</w:t>
            </w:r>
            <w:r>
              <w:rPr>
                <w:rFonts w:hint="eastAsia"/>
                <w:szCs w:val="20"/>
              </w:rPr>
              <w:t>楼</w:t>
            </w:r>
            <w:r>
              <w:rPr>
                <w:rFonts w:hint="eastAsia"/>
                <w:szCs w:val="20"/>
                <w:lang w:val="en-US" w:eastAsia="zh-CN"/>
              </w:rPr>
              <w:t>E~M轴</w:t>
            </w:r>
          </w:p>
        </w:tc>
        <w:tc>
          <w:tcPr>
            <w:tcW w:w="1514" w:type="dxa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100%</w:t>
            </w:r>
          </w:p>
        </w:tc>
        <w:tc>
          <w:tcPr>
            <w:tcW w:w="1582" w:type="dxa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0</w:t>
            </w:r>
            <w:r>
              <w:t>%</w:t>
            </w:r>
          </w:p>
        </w:tc>
        <w:tc>
          <w:tcPr>
            <w:tcW w:w="1582" w:type="dxa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无错层</w:t>
            </w:r>
          </w:p>
        </w:tc>
        <w:tc>
          <w:tcPr>
            <w:tcW w:w="2318" w:type="dxa"/>
            <w:vAlign w:val="center"/>
          </w:tcPr>
          <w:p>
            <w:pPr>
              <w:pStyle w:val="7"/>
            </w:pPr>
            <w:r>
              <w:rPr>
                <w:rFonts w:hint="eastAsia"/>
                <w:szCs w:val="21"/>
              </w:rPr>
              <w:t>规则</w:t>
            </w:r>
          </w:p>
        </w:tc>
      </w:tr>
    </w:tbl>
    <w:p>
      <w:pPr>
        <w:spacing w:line="440" w:lineRule="exact"/>
        <w:ind w:firstLine="0" w:firstLineChars="0"/>
        <w:jc w:val="center"/>
        <w:rPr>
          <w:rFonts w:ascii="宋体" w:hAnsi="宋体"/>
          <w:b/>
          <w:sz w:val="24"/>
        </w:rPr>
      </w:pPr>
    </w:p>
    <w:p>
      <w:pPr>
        <w:spacing w:line="440" w:lineRule="exact"/>
        <w:ind w:firstLine="0" w:firstLineChars="0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侧向刚度不规则判定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2474"/>
        <w:gridCol w:w="2826"/>
        <w:gridCol w:w="14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Merge w:val="restart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楼栋号</w:t>
            </w:r>
          </w:p>
        </w:tc>
        <w:tc>
          <w:tcPr>
            <w:tcW w:w="5300" w:type="dxa"/>
            <w:gridSpan w:val="2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最小侧向刚度比</w:t>
            </w:r>
          </w:p>
        </w:tc>
        <w:tc>
          <w:tcPr>
            <w:tcW w:w="1413" w:type="dxa"/>
            <w:vMerge w:val="restart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判定结论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Merge w:val="continue"/>
            <w:vAlign w:val="center"/>
          </w:tcPr>
          <w:p>
            <w:pPr>
              <w:pStyle w:val="7"/>
            </w:pPr>
          </w:p>
        </w:tc>
        <w:tc>
          <w:tcPr>
            <w:tcW w:w="2474" w:type="dxa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X向</w:t>
            </w:r>
          </w:p>
        </w:tc>
        <w:tc>
          <w:tcPr>
            <w:tcW w:w="2826" w:type="dxa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Y向</w:t>
            </w:r>
          </w:p>
        </w:tc>
        <w:tc>
          <w:tcPr>
            <w:tcW w:w="1413" w:type="dxa"/>
            <w:vMerge w:val="continue"/>
            <w:vAlign w:val="center"/>
          </w:tcPr>
          <w:p>
            <w:pPr>
              <w:pStyle w:val="7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center"/>
          </w:tcPr>
          <w:p>
            <w:pPr>
              <w:pStyle w:val="7"/>
            </w:pPr>
            <w:r>
              <w:rPr>
                <w:rFonts w:hint="eastAsia"/>
                <w:szCs w:val="20"/>
              </w:rPr>
              <w:t>教学</w:t>
            </w:r>
            <w:r>
              <w:rPr>
                <w:rFonts w:hint="eastAsia"/>
                <w:szCs w:val="20"/>
                <w:lang w:eastAsia="zh-CN"/>
              </w:rPr>
              <w:t>综合</w:t>
            </w:r>
            <w:r>
              <w:rPr>
                <w:rFonts w:hint="eastAsia"/>
                <w:szCs w:val="20"/>
              </w:rPr>
              <w:t>楼</w:t>
            </w:r>
            <w:r>
              <w:rPr>
                <w:rFonts w:hint="eastAsia"/>
                <w:szCs w:val="20"/>
                <w:lang w:val="en-US" w:eastAsia="zh-CN"/>
              </w:rPr>
              <w:t>E~M轴</w:t>
            </w:r>
          </w:p>
        </w:tc>
        <w:tc>
          <w:tcPr>
            <w:tcW w:w="2474" w:type="dxa"/>
            <w:vAlign w:val="center"/>
          </w:tcPr>
          <w:p>
            <w:pPr>
              <w:pStyle w:val="7"/>
              <w:rPr>
                <w:rFonts w:hint="default" w:eastAsia="宋体"/>
                <w:lang w:val="en-US" w:eastAsia="zh-CN"/>
              </w:rPr>
            </w:pPr>
            <w:r>
              <w:t>1.</w:t>
            </w:r>
            <w:r>
              <w:rPr>
                <w:rFonts w:hint="eastAsia"/>
                <w:lang w:val="en-US" w:eastAsia="zh-CN"/>
              </w:rPr>
              <w:t>43</w:t>
            </w:r>
          </w:p>
        </w:tc>
        <w:tc>
          <w:tcPr>
            <w:tcW w:w="2826" w:type="dxa"/>
            <w:vAlign w:val="center"/>
          </w:tcPr>
          <w:p>
            <w:pPr>
              <w:pStyle w:val="7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1</w:t>
            </w:r>
            <w:r>
              <w:t>.</w:t>
            </w:r>
            <w:r>
              <w:rPr>
                <w:rFonts w:hint="eastAsia"/>
                <w:lang w:val="en-US" w:eastAsia="zh-CN"/>
              </w:rPr>
              <w:t>41</w:t>
            </w:r>
          </w:p>
        </w:tc>
        <w:tc>
          <w:tcPr>
            <w:tcW w:w="1413" w:type="dxa"/>
            <w:vAlign w:val="center"/>
          </w:tcPr>
          <w:p>
            <w:pPr>
              <w:pStyle w:val="7"/>
            </w:pPr>
            <w:r>
              <w:rPr>
                <w:rFonts w:hint="eastAsia"/>
                <w:szCs w:val="21"/>
              </w:rPr>
              <w:t>规则</w:t>
            </w:r>
          </w:p>
        </w:tc>
      </w:tr>
    </w:tbl>
    <w:p>
      <w:pPr>
        <w:spacing w:line="440" w:lineRule="exact"/>
        <w:ind w:firstLine="199" w:firstLineChars="83"/>
        <w:jc w:val="center"/>
        <w:rPr>
          <w:rFonts w:ascii="宋体" w:hAnsi="宋体"/>
          <w:b/>
          <w:sz w:val="24"/>
        </w:rPr>
      </w:pPr>
    </w:p>
    <w:p>
      <w:pPr>
        <w:spacing w:line="440" w:lineRule="exact"/>
        <w:ind w:firstLine="199" w:firstLineChars="83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竖向抗侧力构件连续判定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4395"/>
        <w:gridCol w:w="2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4" w:hRule="atLeast"/>
        </w:trPr>
        <w:tc>
          <w:tcPr>
            <w:tcW w:w="1809" w:type="dxa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楼栋号</w:t>
            </w:r>
          </w:p>
        </w:tc>
        <w:tc>
          <w:tcPr>
            <w:tcW w:w="4395" w:type="dxa"/>
            <w:vAlign w:val="center"/>
          </w:tcPr>
          <w:p>
            <w:pPr>
              <w:pStyle w:val="7"/>
            </w:pPr>
            <w:r>
              <w:rPr>
                <w:rFonts w:hint="eastAsia" w:cs="宋体"/>
                <w:color w:val="000000"/>
                <w:szCs w:val="21"/>
              </w:rPr>
              <w:t>竖向抗侧力构件的内力由水平转换构件向下传递</w:t>
            </w:r>
          </w:p>
        </w:tc>
        <w:tc>
          <w:tcPr>
            <w:tcW w:w="2318" w:type="dxa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判定结论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center"/>
          </w:tcPr>
          <w:p>
            <w:pPr>
              <w:pStyle w:val="7"/>
            </w:pPr>
            <w:r>
              <w:rPr>
                <w:rFonts w:hint="eastAsia"/>
                <w:szCs w:val="20"/>
              </w:rPr>
              <w:t>教学</w:t>
            </w:r>
            <w:r>
              <w:rPr>
                <w:rFonts w:hint="eastAsia"/>
                <w:szCs w:val="20"/>
                <w:lang w:eastAsia="zh-CN"/>
              </w:rPr>
              <w:t>综合</w:t>
            </w:r>
            <w:r>
              <w:rPr>
                <w:rFonts w:hint="eastAsia"/>
                <w:szCs w:val="20"/>
              </w:rPr>
              <w:t>楼</w:t>
            </w:r>
            <w:r>
              <w:rPr>
                <w:rFonts w:hint="eastAsia"/>
                <w:szCs w:val="20"/>
                <w:lang w:val="en-US" w:eastAsia="zh-CN"/>
              </w:rPr>
              <w:t>E~M轴</w:t>
            </w:r>
          </w:p>
        </w:tc>
        <w:tc>
          <w:tcPr>
            <w:tcW w:w="4395" w:type="dxa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无</w:t>
            </w:r>
          </w:p>
        </w:tc>
        <w:tc>
          <w:tcPr>
            <w:tcW w:w="2318" w:type="dxa"/>
            <w:vAlign w:val="center"/>
          </w:tcPr>
          <w:p>
            <w:pPr>
              <w:pStyle w:val="7"/>
            </w:pPr>
            <w:r>
              <w:rPr>
                <w:rFonts w:hint="eastAsia"/>
                <w:szCs w:val="21"/>
              </w:rPr>
              <w:t>连续</w:t>
            </w:r>
          </w:p>
        </w:tc>
      </w:tr>
    </w:tbl>
    <w:p>
      <w:pPr>
        <w:spacing w:line="440" w:lineRule="exact"/>
        <w:ind w:firstLine="600" w:firstLineChars="250"/>
        <w:jc w:val="center"/>
        <w:rPr>
          <w:rFonts w:ascii="宋体" w:hAnsi="宋体"/>
          <w:b/>
          <w:sz w:val="24"/>
        </w:rPr>
      </w:pPr>
    </w:p>
    <w:p>
      <w:pPr>
        <w:spacing w:line="440" w:lineRule="exact"/>
        <w:ind w:firstLine="600" w:firstLineChars="250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楼层承载力突变判定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2474"/>
        <w:gridCol w:w="2826"/>
        <w:gridCol w:w="14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Merge w:val="restart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楼栋号</w:t>
            </w:r>
          </w:p>
        </w:tc>
        <w:tc>
          <w:tcPr>
            <w:tcW w:w="5300" w:type="dxa"/>
            <w:gridSpan w:val="2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最小楼层承载力比值</w:t>
            </w:r>
          </w:p>
        </w:tc>
        <w:tc>
          <w:tcPr>
            <w:tcW w:w="1413" w:type="dxa"/>
            <w:vMerge w:val="restart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判定结论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Merge w:val="continue"/>
            <w:vAlign w:val="center"/>
          </w:tcPr>
          <w:p>
            <w:pPr>
              <w:pStyle w:val="7"/>
            </w:pPr>
          </w:p>
        </w:tc>
        <w:tc>
          <w:tcPr>
            <w:tcW w:w="2474" w:type="dxa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X向</w:t>
            </w:r>
          </w:p>
        </w:tc>
        <w:tc>
          <w:tcPr>
            <w:tcW w:w="2826" w:type="dxa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Y向</w:t>
            </w:r>
          </w:p>
        </w:tc>
        <w:tc>
          <w:tcPr>
            <w:tcW w:w="1413" w:type="dxa"/>
            <w:vMerge w:val="continue"/>
            <w:vAlign w:val="center"/>
          </w:tcPr>
          <w:p>
            <w:pPr>
              <w:pStyle w:val="7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center"/>
          </w:tcPr>
          <w:p>
            <w:pPr>
              <w:pStyle w:val="7"/>
            </w:pPr>
            <w:r>
              <w:rPr>
                <w:rFonts w:hint="eastAsia"/>
                <w:szCs w:val="20"/>
              </w:rPr>
              <w:t>教学</w:t>
            </w:r>
            <w:r>
              <w:rPr>
                <w:rFonts w:hint="eastAsia"/>
                <w:szCs w:val="20"/>
                <w:lang w:eastAsia="zh-CN"/>
              </w:rPr>
              <w:t>综合</w:t>
            </w:r>
            <w:r>
              <w:rPr>
                <w:rFonts w:hint="eastAsia"/>
                <w:szCs w:val="20"/>
              </w:rPr>
              <w:t>楼</w:t>
            </w:r>
            <w:r>
              <w:rPr>
                <w:rFonts w:hint="eastAsia"/>
                <w:szCs w:val="20"/>
                <w:lang w:val="en-US" w:eastAsia="zh-CN"/>
              </w:rPr>
              <w:t>E~M轴</w:t>
            </w:r>
          </w:p>
        </w:tc>
        <w:tc>
          <w:tcPr>
            <w:tcW w:w="2474" w:type="dxa"/>
            <w:vAlign w:val="center"/>
          </w:tcPr>
          <w:p>
            <w:pPr>
              <w:pStyle w:val="7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1.1</w:t>
            </w: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2826" w:type="dxa"/>
            <w:vAlign w:val="center"/>
          </w:tcPr>
          <w:p>
            <w:pPr>
              <w:pStyle w:val="7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1.</w:t>
            </w: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1413" w:type="dxa"/>
            <w:vAlign w:val="center"/>
          </w:tcPr>
          <w:p>
            <w:pPr>
              <w:pStyle w:val="7"/>
            </w:pPr>
            <w:r>
              <w:rPr>
                <w:rFonts w:hint="eastAsia"/>
                <w:szCs w:val="21"/>
              </w:rPr>
              <w:t>无突变</w:t>
            </w:r>
          </w:p>
        </w:tc>
      </w:tr>
    </w:tbl>
    <w:p>
      <w:pPr>
        <w:spacing w:line="440" w:lineRule="exact"/>
        <w:ind w:firstLine="390" w:firstLineChars="195"/>
        <w:rPr>
          <w:rFonts w:asciiTheme="minorEastAsia" w:hAnsiTheme="minorEastAsia" w:eastAsiaTheme="minorEastAsia"/>
          <w:bCs/>
          <w:sz w:val="20"/>
          <w:szCs w:val="20"/>
        </w:rPr>
      </w:pPr>
    </w:p>
    <w:p>
      <w:pPr>
        <w:spacing w:line="440" w:lineRule="exact"/>
        <w:ind w:firstLine="390" w:firstLineChars="195"/>
        <w:rPr>
          <w:rFonts w:asciiTheme="minorEastAsia" w:hAnsiTheme="minorEastAsia" w:eastAsiaTheme="minorEastAsia"/>
          <w:bCs/>
          <w:sz w:val="20"/>
          <w:szCs w:val="20"/>
        </w:rPr>
      </w:pPr>
    </w:p>
    <w:p>
      <w:pPr>
        <w:spacing w:line="440" w:lineRule="exact"/>
        <w:ind w:firstLine="546" w:firstLineChars="195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四、结论</w:t>
      </w:r>
    </w:p>
    <w:p>
      <w:pPr>
        <w:ind w:firstLine="420"/>
      </w:pPr>
      <w:r>
        <w:rPr>
          <w:rFonts w:hint="eastAsia"/>
        </w:rPr>
        <w:t>综上所述，本项目建筑形体规则性判定为</w:t>
      </w:r>
      <w:r>
        <w:rPr>
          <w:rFonts w:hint="eastAsia"/>
          <w:b/>
        </w:rPr>
        <w:t>不规则</w:t>
      </w:r>
      <w:r>
        <w:rPr>
          <w:rFonts w:hint="eastAsia"/>
        </w:rPr>
        <w:t>，</w:t>
      </w:r>
      <w:r>
        <w:t>不</w:t>
      </w:r>
      <w:r>
        <w:rPr>
          <w:rFonts w:hint="eastAsia"/>
        </w:rPr>
        <w:t>属于</w:t>
      </w:r>
      <w:r>
        <w:t>建筑形体和布置严重不规则的建筑结构</w:t>
      </w:r>
      <w:r>
        <w:rPr>
          <w:rFonts w:hint="eastAsia"/>
        </w:rPr>
        <w:t>，满足7.1.8要求。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 Light">
    <w:panose1 w:val="020B0502040204020203"/>
    <w:charset w:val="86"/>
    <w:family w:val="swiss"/>
    <w:pitch w:val="default"/>
    <w:sig w:usb0="80000287" w:usb1="2ACF001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20"/>
      </w:pPr>
      <w:r>
        <w:separator/>
      </w:r>
    </w:p>
  </w:footnote>
  <w:footnote w:type="continuationSeparator" w:id="1">
    <w:p>
      <w:pPr>
        <w:spacing w:line="36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7094CBE"/>
    <w:multiLevelType w:val="multilevel"/>
    <w:tmpl w:val="27094CBE"/>
    <w:lvl w:ilvl="0" w:tentative="0">
      <w:start w:val="1"/>
      <w:numFmt w:val="chineseCountingThousand"/>
      <w:pStyle w:val="4"/>
      <w:lvlText w:val="（%1）"/>
      <w:lvlJc w:val="center"/>
      <w:pPr>
        <w:tabs>
          <w:tab w:val="left" w:pos="0"/>
        </w:tabs>
        <w:ind w:left="0" w:firstLine="3402"/>
      </w:pPr>
      <w:rPr>
        <w:rFonts w:hint="eastAsia"/>
      </w:rPr>
    </w:lvl>
    <w:lvl w:ilvl="1" w:tentative="0">
      <w:start w:val="1"/>
      <w:numFmt w:val="none"/>
      <w:lvlText w:val=""/>
      <w:lvlJc w:val="left"/>
      <w:pPr>
        <w:ind w:left="4106" w:hanging="567"/>
      </w:pPr>
      <w:rPr>
        <w:rFonts w:hint="eastAsia"/>
      </w:rPr>
    </w:lvl>
    <w:lvl w:ilvl="2" w:tentative="0">
      <w:start w:val="1"/>
      <w:numFmt w:val="none"/>
      <w:lvlText w:val=""/>
      <w:lvlJc w:val="left"/>
      <w:pPr>
        <w:ind w:left="4532" w:hanging="567"/>
      </w:pPr>
      <w:rPr>
        <w:rFonts w:hint="eastAsia"/>
      </w:rPr>
    </w:lvl>
    <w:lvl w:ilvl="3" w:tentative="0">
      <w:start w:val="1"/>
      <w:numFmt w:val="none"/>
      <w:lvlText w:val=""/>
      <w:lvlJc w:val="left"/>
      <w:pPr>
        <w:ind w:left="5098" w:hanging="708"/>
      </w:pPr>
      <w:rPr>
        <w:rFonts w:hint="eastAsia"/>
      </w:rPr>
    </w:lvl>
    <w:lvl w:ilvl="4" w:tentative="0">
      <w:start w:val="1"/>
      <w:numFmt w:val="none"/>
      <w:lvlText w:val=""/>
      <w:lvlJc w:val="left"/>
      <w:pPr>
        <w:ind w:left="5665" w:hanging="850"/>
      </w:pPr>
      <w:rPr>
        <w:rFonts w:hint="eastAsia"/>
      </w:rPr>
    </w:lvl>
    <w:lvl w:ilvl="5" w:tentative="0">
      <w:start w:val="1"/>
      <w:numFmt w:val="none"/>
      <w:lvlText w:val=""/>
      <w:lvlJc w:val="left"/>
      <w:pPr>
        <w:ind w:left="6374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6941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7508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8216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4ODdkOGI0NjcxM2M3NmUwNThmZTFlMGM0MmE2OTQifQ=="/>
  </w:docVars>
  <w:rsids>
    <w:rsidRoot w:val="0FFF251C"/>
    <w:rsid w:val="000075E4"/>
    <w:rsid w:val="00057C94"/>
    <w:rsid w:val="000D6A22"/>
    <w:rsid w:val="00140D0F"/>
    <w:rsid w:val="001A451D"/>
    <w:rsid w:val="002C2186"/>
    <w:rsid w:val="002C2A22"/>
    <w:rsid w:val="003644F2"/>
    <w:rsid w:val="003846DE"/>
    <w:rsid w:val="003B4544"/>
    <w:rsid w:val="00416652"/>
    <w:rsid w:val="00421808"/>
    <w:rsid w:val="00431AA0"/>
    <w:rsid w:val="004A5C76"/>
    <w:rsid w:val="004C5F83"/>
    <w:rsid w:val="004F1D45"/>
    <w:rsid w:val="005E41C4"/>
    <w:rsid w:val="00616D44"/>
    <w:rsid w:val="006A3E6F"/>
    <w:rsid w:val="006B2E0B"/>
    <w:rsid w:val="006D77B9"/>
    <w:rsid w:val="00762FDB"/>
    <w:rsid w:val="0082440C"/>
    <w:rsid w:val="008A465F"/>
    <w:rsid w:val="00911C33"/>
    <w:rsid w:val="009149C9"/>
    <w:rsid w:val="00967B44"/>
    <w:rsid w:val="00A95694"/>
    <w:rsid w:val="00AF7B85"/>
    <w:rsid w:val="00BC1061"/>
    <w:rsid w:val="00C61FE1"/>
    <w:rsid w:val="00CC4594"/>
    <w:rsid w:val="00D1177F"/>
    <w:rsid w:val="00DE1F2C"/>
    <w:rsid w:val="00E44608"/>
    <w:rsid w:val="00E61526"/>
    <w:rsid w:val="00E81550"/>
    <w:rsid w:val="00ED6849"/>
    <w:rsid w:val="00EF3D10"/>
    <w:rsid w:val="00F50348"/>
    <w:rsid w:val="00F56E66"/>
    <w:rsid w:val="00F927D9"/>
    <w:rsid w:val="018E3684"/>
    <w:rsid w:val="0FFF251C"/>
    <w:rsid w:val="24A429AB"/>
    <w:rsid w:val="369C33D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  <w:spacing w:line="360" w:lineRule="auto"/>
      <w:ind w:firstLine="200" w:firstLineChars="200"/>
    </w:pPr>
    <w:rPr>
      <w:rFonts w:ascii="Times New Roman" w:hAnsi="Times New Roman" w:eastAsia="微软雅黑" w:cs="Times New Roman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4">
    <w:name w:val="Title"/>
    <w:basedOn w:val="1"/>
    <w:next w:val="1"/>
    <w:qFormat/>
    <w:uiPriority w:val="10"/>
    <w:pPr>
      <w:numPr>
        <w:ilvl w:val="0"/>
        <w:numId w:val="1"/>
      </w:numPr>
      <w:snapToGrid w:val="0"/>
      <w:spacing w:before="120" w:after="120"/>
      <w:ind w:firstLine="0" w:firstLineChars="0"/>
      <w:jc w:val="center"/>
      <w:outlineLvl w:val="0"/>
    </w:pPr>
    <w:rPr>
      <w:rFonts w:ascii="Cambria" w:hAnsi="Cambria" w:eastAsia="微软雅黑 Light"/>
      <w:b/>
      <w:bCs/>
      <w:sz w:val="36"/>
      <w:szCs w:val="32"/>
    </w:rPr>
  </w:style>
  <w:style w:type="paragraph" w:customStyle="1" w:styleId="7">
    <w:name w:val="不缩进"/>
    <w:basedOn w:val="1"/>
    <w:qFormat/>
    <w:uiPriority w:val="0"/>
    <w:pPr>
      <w:snapToGrid w:val="0"/>
      <w:ind w:firstLine="0" w:firstLineChars="0"/>
    </w:pPr>
    <w:rPr>
      <w:rFonts w:eastAsia="宋体"/>
      <w:sz w:val="20"/>
    </w:rPr>
  </w:style>
  <w:style w:type="character" w:customStyle="1" w:styleId="8">
    <w:name w:val="页眉 Char"/>
    <w:basedOn w:val="6"/>
    <w:link w:val="3"/>
    <w:uiPriority w:val="0"/>
    <w:rPr>
      <w:rFonts w:ascii="Times New Roman" w:hAnsi="Times New Roman" w:eastAsia="微软雅黑" w:cs="Times New Roman"/>
      <w:sz w:val="18"/>
      <w:szCs w:val="18"/>
    </w:rPr>
  </w:style>
  <w:style w:type="character" w:customStyle="1" w:styleId="9">
    <w:name w:val="页脚 Char"/>
    <w:basedOn w:val="6"/>
    <w:link w:val="2"/>
    <w:uiPriority w:val="0"/>
    <w:rPr>
      <w:rFonts w:ascii="Times New Roman" w:hAnsi="Times New Roman" w:eastAsia="微软雅黑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347</Words>
  <Characters>1984</Characters>
  <Lines>16</Lines>
  <Paragraphs>4</Paragraphs>
  <TotalTime>10</TotalTime>
  <ScaleCrop>false</ScaleCrop>
  <LinksUpToDate>false</LinksUpToDate>
  <CharactersWithSpaces>2327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2022-05-11T08:08:00Z</dcterms:created>
  <dc:creator>影</dc:creator>
  <cp:lastModifiedBy>我飞过</cp:lastModifiedBy>
  <dcterms:modified xsi:type="dcterms:W3CDTF">2023-12-04T06:54:49Z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AB9EC7C0884E48949CC3E1C5A319095B_13</vt:lpwstr>
  </property>
</Properties>
</file>