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0" w:name="_Toc14261605"/>
      <w:r>
        <w:rPr>
          <w:rFonts w:hint="eastAsia" w:ascii="Times New Roman" w:hAnsi="Times New Roman" w:eastAsiaTheme="minorEastAsia"/>
        </w:rPr>
        <w:t>6.2 评分项</w:t>
      </w:r>
      <w:bookmarkEnd w:id="0"/>
    </w:p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bookmarkStart w:id="1" w:name="_Toc14261606"/>
      <w:r>
        <w:rPr>
          <w:rFonts w:ascii="Times New Roman" w:hAnsi="Times New Roman" w:eastAsiaTheme="minorEastAsia"/>
        </w:rPr>
        <w:t>I</w:t>
      </w:r>
      <w:r>
        <w:rPr>
          <w:rFonts w:hint="eastAsia" w:ascii="Times New Roman" w:hAnsi="Times New Roman" w:eastAsiaTheme="minorEastAsia"/>
        </w:rPr>
        <w:t>出行与无障碍</w:t>
      </w:r>
      <w:bookmarkEnd w:id="1"/>
    </w:p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</w:t>
      </w:r>
      <w:r>
        <w:rPr>
          <w:rFonts w:hint="eastAsia" w:ascii="Times New Roman" w:hAnsi="Times New Roman" w:eastAsiaTheme="minorEastAsia"/>
        </w:rPr>
        <w:t>2</w:t>
      </w:r>
      <w:r>
        <w:rPr>
          <w:rFonts w:ascii="Times New Roman" w:hAnsi="Times New Roman" w:eastAsiaTheme="minorEastAsia"/>
        </w:rPr>
        <w:t xml:space="preserve">.1 </w:t>
      </w:r>
      <w:r>
        <w:rPr>
          <w:rFonts w:hint="eastAsia" w:ascii="Times New Roman" w:hAnsi="Times New Roman" w:eastAsiaTheme="minorEastAsia"/>
        </w:rPr>
        <w:t>场地与公共交通站点联系便捷。（总分8分）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51"/>
        <w:gridCol w:w="1134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场地出入口到达公共交通站点的步行距离不超过 500m,或到达轨道交通站的步行距离不大于 800m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场地出入口到达公共交通站点的步行距离不超过 300m, 或到达轨道交通站的步行距离不大于 500m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场地出入口步行距离 800m 范围内设有不少于 2 条线路的公共交通站点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场地出入口到达公共交通站点步行距离</w:t>
      </w:r>
      <w:r>
        <w:rPr>
          <w:rFonts w:eastAsiaTheme="minorEastAsia"/>
          <w:b/>
          <w:lang w:val="zh-CN"/>
        </w:rPr>
        <w:t>: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场地出入口到达公共汽车站步行距离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392</w:t>
      </w:r>
      <w:r>
        <w:rPr>
          <w:rFonts w:eastAsiaTheme="minorEastAsia"/>
          <w:lang w:val="zh-CN"/>
        </w:rPr>
        <w:t>__m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场地出入口到达轨道交通站步行距离</w:t>
      </w:r>
      <w:r>
        <w:rPr>
          <w:rFonts w:eastAsiaTheme="minorEastAsia"/>
          <w:lang w:val="zh-CN"/>
        </w:rPr>
        <w:t>____m</w:t>
      </w:r>
    </w:p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步行距离</w:t>
      </w:r>
      <w:r>
        <w:rPr>
          <w:rFonts w:eastAsiaTheme="minorEastAsia"/>
          <w:b/>
          <w:lang w:val="zh-CN"/>
        </w:rPr>
        <w:t>800m</w:t>
      </w:r>
      <w:r>
        <w:rPr>
          <w:rFonts w:hint="eastAsia" w:eastAsiaTheme="minorEastAsia"/>
          <w:b/>
          <w:lang w:val="zh-CN"/>
        </w:rPr>
        <w:t>范围内公共交通站点线路数量</w:t>
      </w:r>
      <w:r>
        <w:rPr>
          <w:rFonts w:eastAsiaTheme="minorEastAsia"/>
          <w:b/>
          <w:lang w:val="zh-CN"/>
        </w:rPr>
        <w:t>: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场地出入口步行距离</w:t>
      </w:r>
      <w:r>
        <w:rPr>
          <w:rFonts w:eastAsiaTheme="minorEastAsia"/>
          <w:lang w:val="zh-CN"/>
        </w:rPr>
        <w:t>800m</w:t>
      </w:r>
      <w:r>
        <w:rPr>
          <w:rFonts w:hint="eastAsia" w:eastAsiaTheme="minorEastAsia"/>
          <w:lang w:val="zh-CN"/>
        </w:rPr>
        <w:t>范围内设有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en-US" w:eastAsia="zh-CN"/>
        </w:rPr>
        <w:t>3</w:t>
      </w:r>
      <w:r>
        <w:rPr>
          <w:rFonts w:eastAsiaTheme="minorEastAsia"/>
          <w:lang w:val="zh-CN"/>
        </w:rPr>
        <w:t>_</w:t>
      </w:r>
      <w:r>
        <w:rPr>
          <w:rFonts w:hint="eastAsia" w:eastAsiaTheme="minorEastAsia"/>
          <w:lang w:val="zh-CN"/>
        </w:rPr>
        <w:t>条线路的公共交通站点（含公共汽车站和轨道交通站）。</w:t>
      </w:r>
    </w:p>
    <w:p>
      <w:pPr>
        <w:tabs>
          <w:tab w:val="left" w:pos="2702"/>
        </w:tabs>
        <w:spacing w:before="100"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公共汽车站统计表：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14"/>
        <w:gridCol w:w="195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15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公交站名称</w:t>
            </w:r>
          </w:p>
        </w:tc>
        <w:tc>
          <w:tcPr>
            <w:tcW w:w="3714" w:type="dxa"/>
          </w:tcPr>
          <w:p>
            <w:pPr>
              <w:tabs>
                <w:tab w:val="left" w:pos="2702"/>
              </w:tabs>
              <w:spacing w:line="288" w:lineRule="auto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场地出入口步行至公交站的距离（</w:t>
            </w:r>
            <w:r>
              <w:rPr>
                <w:rFonts w:eastAsiaTheme="minorEastAsia"/>
                <w:lang w:val="zh-CN"/>
              </w:rPr>
              <w:t>m</w:t>
            </w:r>
            <w:r>
              <w:rPr>
                <w:rFonts w:hint="eastAsia" w:eastAsiaTheme="minorEastAsia"/>
                <w:lang w:val="zh-CN"/>
              </w:rPr>
              <w:t>）</w:t>
            </w:r>
          </w:p>
        </w:tc>
        <w:tc>
          <w:tcPr>
            <w:tcW w:w="195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公交汽车线路名称</w:t>
            </w: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已建</w:t>
            </w:r>
            <w:r>
              <w:rPr>
                <w:rFonts w:eastAsiaTheme="minorEastAsia"/>
                <w:lang w:val="zh-CN"/>
              </w:rPr>
              <w:t>/</w:t>
            </w:r>
            <w:r>
              <w:rPr>
                <w:rFonts w:hint="eastAsia" w:eastAsiaTheme="minor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  <w:t>翼城1路</w:t>
            </w:r>
          </w:p>
        </w:tc>
        <w:tc>
          <w:tcPr>
            <w:tcW w:w="3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 w:eastAsiaTheme="minorEastAsia"/>
                <w:bCs/>
                <w:lang w:val="en-US" w:eastAsia="zh-CN"/>
              </w:rPr>
              <w:t>656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  <w:t>翼城2路</w:t>
            </w:r>
          </w:p>
        </w:tc>
        <w:tc>
          <w:tcPr>
            <w:tcW w:w="3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 w:eastAsiaTheme="minorEastAsia"/>
                <w:bCs/>
                <w:lang w:val="en-US" w:eastAsia="zh-CN"/>
              </w:rPr>
              <w:t>656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  <w:t>翼城-侯马招呼站</w:t>
            </w:r>
          </w:p>
        </w:tc>
        <w:tc>
          <w:tcPr>
            <w:tcW w:w="3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 w:eastAsiaTheme="minorEastAsia"/>
                <w:bCs/>
                <w:lang w:val="en-US" w:eastAsia="zh-CN"/>
              </w:rPr>
              <w:t>392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Theme="minorEastAsia"/>
                <w:bCs/>
                <w:lang w:val="zh-CN"/>
              </w:rPr>
            </w:pPr>
          </w:p>
        </w:tc>
        <w:tc>
          <w:tcPr>
            <w:tcW w:w="13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已建</w:t>
            </w:r>
          </w:p>
        </w:tc>
      </w:tr>
    </w:tbl>
    <w:p>
      <w:pPr>
        <w:tabs>
          <w:tab w:val="left" w:pos="2702"/>
        </w:tabs>
        <w:spacing w:before="100"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轨道交通站统计表：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012"/>
        <w:gridCol w:w="148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tblHeader/>
          <w:jc w:val="center"/>
        </w:trPr>
        <w:tc>
          <w:tcPr>
            <w:tcW w:w="169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轨道交通站名称</w:t>
            </w:r>
          </w:p>
        </w:tc>
        <w:tc>
          <w:tcPr>
            <w:tcW w:w="4012" w:type="dxa"/>
          </w:tcPr>
          <w:p>
            <w:pPr>
              <w:tabs>
                <w:tab w:val="left" w:pos="2702"/>
              </w:tabs>
              <w:spacing w:line="288" w:lineRule="auto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场地出入口步行至轨道交通站的距离（</w:t>
            </w:r>
            <w:r>
              <w:rPr>
                <w:rFonts w:eastAsiaTheme="minorEastAsia"/>
                <w:lang w:val="zh-CN"/>
              </w:rPr>
              <w:t>m</w:t>
            </w:r>
            <w:r>
              <w:rPr>
                <w:rFonts w:hint="eastAsia" w:eastAsiaTheme="minorEastAsia"/>
                <w:lang w:val="zh-CN"/>
              </w:rPr>
              <w:t>）</w:t>
            </w:r>
          </w:p>
        </w:tc>
        <w:tc>
          <w:tcPr>
            <w:tcW w:w="1488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轨道线路名称</w:t>
            </w: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spacing w:line="288" w:lineRule="auto"/>
              <w:jc w:val="center"/>
              <w:rPr>
                <w:rFonts w:eastAsiaTheme="minorEastAsia"/>
                <w:lang w:val="zh-CN"/>
              </w:rPr>
            </w:pPr>
            <w:r>
              <w:rPr>
                <w:rFonts w:hint="eastAsia" w:eastAsiaTheme="minorEastAsia"/>
                <w:lang w:val="zh-CN"/>
              </w:rPr>
              <w:t>已建</w:t>
            </w:r>
            <w:r>
              <w:rPr>
                <w:rFonts w:eastAsiaTheme="minorEastAsia"/>
                <w:lang w:val="zh-CN"/>
              </w:rPr>
              <w:t>/</w:t>
            </w:r>
            <w:r>
              <w:rPr>
                <w:rFonts w:hint="eastAsia" w:eastAsiaTheme="minorEastAsia"/>
                <w:lang w:val="zh-CN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696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4012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88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696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4012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488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  <w:tc>
          <w:tcPr>
            <w:tcW w:w="1326" w:type="dxa"/>
          </w:tcPr>
          <w:p>
            <w:pPr>
              <w:tabs>
                <w:tab w:val="left" w:pos="2702"/>
              </w:tabs>
              <w:jc w:val="center"/>
              <w:rPr>
                <w:rFonts w:eastAsiaTheme="minorEastAsia"/>
                <w:lang w:val="zh-CN"/>
              </w:rPr>
            </w:pPr>
          </w:p>
        </w:tc>
      </w:tr>
    </w:tbl>
    <w:p>
      <w:pPr>
        <w:pStyle w:val="13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有便捷的人行通道联系公共交通站点</w:t>
      </w:r>
      <w:r>
        <w:rPr>
          <w:rFonts w:eastAsiaTheme="minorEastAsia"/>
          <w:b/>
          <w:lang w:val="zh-CN"/>
        </w:rPr>
        <w:t>: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请对交通组织进行简要分析。（如有便捷的人行通道联系公共交通站点，为减少到达公共交通站点的绕行距离设置了专用的人行通道等，请对此情况进行描述，</w:t>
      </w:r>
      <w:r>
        <w:rPr>
          <w:rFonts w:eastAsiaTheme="minorEastAsia"/>
          <w:lang w:val="zh-CN"/>
        </w:rPr>
        <w:t>300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20" w:firstLineChars="200"/>
              <w:outlineLvl w:val="8"/>
              <w:rPr>
                <w:rFonts w:hint="default" w:eastAsiaTheme="minorEastAsia"/>
                <w:bCs/>
                <w:kern w:val="44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kern w:val="44"/>
                <w:szCs w:val="21"/>
                <w:lang w:val="en-US" w:eastAsia="zh-CN"/>
              </w:rPr>
              <w:t>翼城汽车站在本项目用地选址内，拟拆除。</w:t>
            </w:r>
            <w:r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  <w:t>翼城-侯马招呼站</w:t>
            </w:r>
            <w:r>
              <w:rPr>
                <w:rFonts w:hint="eastAsia" w:eastAsiaTheme="minorEastAsia"/>
                <w:bCs/>
                <w:kern w:val="44"/>
                <w:szCs w:val="21"/>
                <w:lang w:val="en-US" w:eastAsia="zh-CN"/>
              </w:rPr>
              <w:t>位于场地西南</w:t>
            </w:r>
            <w:bookmarkStart w:id="2" w:name="_GoBack"/>
            <w:bookmarkEnd w:id="2"/>
            <w:r>
              <w:rPr>
                <w:rFonts w:hint="eastAsia" w:eastAsiaTheme="minorEastAsia"/>
                <w:bCs/>
                <w:kern w:val="44"/>
                <w:szCs w:val="21"/>
                <w:lang w:val="en-US" w:eastAsia="zh-CN"/>
              </w:rPr>
              <w:t>侧，</w:t>
            </w:r>
            <w:r>
              <w:rPr>
                <w:rFonts w:hint="eastAsia" w:eastAsiaTheme="minorEastAsia"/>
                <w:bCs/>
                <w:lang w:val="en-US" w:eastAsia="zh-CN"/>
              </w:rPr>
              <w:t>翼中公交站位于场地东北角。距离较近。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应体现场地步行入口与公共交通站点的有机联系，创造便捷的公共交通使用条件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应体现场地到达公交站点的步行路线、场地出入口到达公交站点的距离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公共交通站点或专用接驳车运行的影像资料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场地周边公共交通设施布局示意图</w:t>
            </w:r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574C1"/>
    <w:multiLevelType w:val="multilevel"/>
    <w:tmpl w:val="47D574C1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EF5CB4"/>
    <w:rsid w:val="00032B4A"/>
    <w:rsid w:val="00191F9B"/>
    <w:rsid w:val="00214DEC"/>
    <w:rsid w:val="00226436"/>
    <w:rsid w:val="00226691"/>
    <w:rsid w:val="00577E34"/>
    <w:rsid w:val="005B077C"/>
    <w:rsid w:val="006E2A76"/>
    <w:rsid w:val="00A11034"/>
    <w:rsid w:val="00BE5A46"/>
    <w:rsid w:val="00CA688A"/>
    <w:rsid w:val="00EA6605"/>
    <w:rsid w:val="00EF5CB4"/>
    <w:rsid w:val="00F45338"/>
    <w:rsid w:val="07322B41"/>
    <w:rsid w:val="185D2F9A"/>
    <w:rsid w:val="25407ECB"/>
    <w:rsid w:val="2C4464F3"/>
    <w:rsid w:val="2DF262C6"/>
    <w:rsid w:val="37040D59"/>
    <w:rsid w:val="3B653D90"/>
    <w:rsid w:val="51B16B8F"/>
    <w:rsid w:val="58D520FD"/>
    <w:rsid w:val="6412222E"/>
    <w:rsid w:val="65C07C91"/>
    <w:rsid w:val="68282249"/>
    <w:rsid w:val="735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2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2020-06-04T02:13:00Z</dcterms:created>
  <dc:creator>dongYP</dc:creator>
  <cp:lastModifiedBy>景午午</cp:lastModifiedBy>
  <dcterms:modified xsi:type="dcterms:W3CDTF">2023-11-24T09:40:33Z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12B8A89E85B141C19D06348B15C1674B_12</vt:lpwstr>
  </property>
</Properties>
</file>