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1</w:t>
      </w:r>
      <w:r>
        <w:rPr>
          <w:rFonts w:ascii="Times New Roman" w:hAnsi="Times New Roman" w:eastAsiaTheme="minorEastAsia"/>
        </w:rPr>
        <w:t>.</w:t>
      </w:r>
      <w:r>
        <w:rPr>
          <w:rFonts w:hint="eastAsia" w:ascii="Times New Roman" w:hAnsi="Times New Roman" w:eastAsiaTheme="minorEastAsia"/>
        </w:rPr>
        <w:t>9建筑造型要素应简约，应无大量装饰性构件，并应符合下列规定：1 住宅建筑的装饰性构件造价占建筑总造价的比例不应大于 2%；2 公共建筑的装饰性构件造价占建筑总造价的比例不应大于 1%。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lang w:val="zh-CN"/>
        </w:rPr>
        <w:t>达标；</w:t>
      </w:r>
      <w:sdt>
        <w:sdtPr>
          <w:rPr>
            <w:rFonts w:hint="eastAsia" w:eastAsiaTheme="minorEastAsia"/>
            <w:sz w:val="28"/>
          </w:rPr>
          <w:id w:val="6009232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lang w:val="zh-CN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4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</w:rPr>
        <w:t>建筑装饰性构件使用</w:t>
      </w:r>
    </w:p>
    <w:p>
      <w:pPr>
        <w:spacing w:line="288" w:lineRule="auto"/>
        <w:rPr>
          <w:rFonts w:eastAsiaTheme="minorEastAsia"/>
        </w:rPr>
      </w:pPr>
      <w:r>
        <w:rPr>
          <w:rFonts w:hint="eastAsia" w:cs="宋体" w:eastAsiaTheme="minorEastAsia"/>
        </w:rPr>
        <w:t>本项目是否使用了装饰性构件：</w:t>
      </w:r>
      <w:sdt>
        <w:sdtPr>
          <w:rPr>
            <w:rFonts w:hint="eastAsia" w:eastAsiaTheme="minorEastAsia"/>
            <w:sz w:val="28"/>
          </w:rPr>
          <w:id w:val="-148075840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7404504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</w:rPr>
        <w:t>否；</w:t>
      </w:r>
    </w:p>
    <w:p>
      <w:pPr>
        <w:spacing w:line="288" w:lineRule="auto"/>
        <w:rPr>
          <w:rFonts w:eastAsiaTheme="minorEastAsia"/>
        </w:rPr>
      </w:pPr>
      <w:r>
        <w:rPr>
          <w:rFonts w:hint="eastAsia" w:cs="宋体" w:eastAsiaTheme="minorEastAsia"/>
        </w:rPr>
        <w:t>如</w:t>
      </w:r>
      <w:r>
        <w:rPr>
          <w:rFonts w:hint="eastAsia" w:eastAsiaTheme="minorEastAsia"/>
        </w:rPr>
        <w:t>果使用了具备功能的装饰性构件，其功能是：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装饰性构件的造价：万元，工程总造价：万元，装饰性构件造价占工程总造价的比例：</w:t>
      </w:r>
      <w:r>
        <w:rPr>
          <w:rFonts w:eastAsiaTheme="minorEastAsia"/>
          <w:lang w:val="zh-CN"/>
        </w:rPr>
        <w:t>__</w:t>
      </w:r>
      <w:r>
        <w:rPr>
          <w:rFonts w:hint="eastAsia" w:eastAsiaTheme="minorEastAsia"/>
          <w:lang w:val="en-US" w:eastAsia="zh-CN"/>
        </w:rPr>
        <w:t>1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</w:t>
      </w:r>
      <w:r>
        <w:rPr>
          <w:rFonts w:hint="eastAsia" w:eastAsiaTheme="minorEastAsia"/>
        </w:rPr>
        <w:t>%；</w:t>
      </w:r>
    </w:p>
    <w:p>
      <w:pPr>
        <w:spacing w:line="288" w:lineRule="auto"/>
        <w:rPr>
          <w:rFonts w:cs="宋体" w:eastAsiaTheme="minorEastAsia"/>
          <w:lang w:val="zh-CN"/>
        </w:rPr>
      </w:pPr>
      <w:r>
        <w:rPr>
          <w:rFonts w:hint="eastAsia" w:eastAsiaTheme="minorEastAsia"/>
        </w:rPr>
        <w:t>女儿墙</w:t>
      </w:r>
      <w:r>
        <w:rPr>
          <w:rFonts w:hint="eastAsia" w:cs="宋体" w:eastAsiaTheme="minorEastAsia"/>
        </w:rPr>
        <w:t>高度：米，</w:t>
      </w:r>
      <w:r>
        <w:rPr>
          <w:rFonts w:hint="eastAsia" w:cs="宋体" w:eastAsiaTheme="minorEastAsia"/>
          <w:lang w:val="zh-CN"/>
        </w:rPr>
        <w:t>是否超过规范要求的</w:t>
      </w:r>
      <w:r>
        <w:rPr>
          <w:rFonts w:eastAsiaTheme="minorEastAsia"/>
          <w:lang w:val="zh-CN"/>
        </w:rPr>
        <w:t>2</w:t>
      </w:r>
      <w:r>
        <w:rPr>
          <w:rFonts w:hint="eastAsia" w:cs="宋体" w:eastAsiaTheme="minorEastAsia"/>
          <w:lang w:val="zh-CN"/>
        </w:rPr>
        <w:t>倍：</w:t>
      </w:r>
      <w:sdt>
        <w:sdtPr>
          <w:rPr>
            <w:rFonts w:hint="eastAsia" w:eastAsiaTheme="minorEastAsia"/>
            <w:sz w:val="28"/>
          </w:rPr>
          <w:id w:val="16591072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是、</w:t>
      </w:r>
      <w:sdt>
        <w:sdtPr>
          <w:rPr>
            <w:rFonts w:hint="eastAsia" w:eastAsiaTheme="minorEastAsia"/>
            <w:sz w:val="28"/>
          </w:rPr>
          <w:id w:val="9708657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cs="宋体" w:eastAsiaTheme="minorEastAsia"/>
          <w:lang w:val="zh-CN"/>
        </w:rPr>
        <w:t>否。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tbl>
      <w:tblPr>
        <w:tblStyle w:val="7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4281"/>
        <w:gridCol w:w="119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40" w:hRule="atLeast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18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81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体现女儿墙的高度及立面装饰性构件的位置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建筑剖面图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应体现女儿墙的高度及立面装饰性构件的位置、尺寸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应体现建筑造型及装饰性构件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 xml:space="preserve">建筑平面图 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应体现所有女儿墙的高度及所有装饰性构件的位置、尺寸和构造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结构平面布置图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应体现装饰性构件的位置、尺寸、构造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梁设计图及结构详图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应体现装饰性构件的位置、尺寸、构造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柱设计图及结构详图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应体现女儿墙详图及所有装饰性构件的位置、尺寸、构造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墙设计图及结构详图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应体现女儿墙详图及所有装饰性构件的位置、尺寸、构造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板设计图及结构详图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应体现女儿墙详图和装饰性构件的位置、尺寸、构造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局部构件详图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应体现装饰性构件的位置、尺寸、构造（若有，如连廊、悬挑构件等）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建筑工程造价预算/决算清单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应体现装饰性构件的造价及工程总造价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装饰性构件造价比例计算书</w:t>
            </w:r>
          </w:p>
        </w:tc>
        <w:tc>
          <w:tcPr>
            <w:tcW w:w="42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应包括所有装饰性构件的位置及功能介绍，对没有功能作用的纯装饰性构件，应计算其造价占工程总造价的比例，计算数据应与工程预算/决算保持一致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建筑施工图、结构施工图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A534E"/>
    <w:multiLevelType w:val="multilevel"/>
    <w:tmpl w:val="58EA534E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D11A10"/>
    <w:rsid w:val="00122B6A"/>
    <w:rsid w:val="002E0EEE"/>
    <w:rsid w:val="005A1BF6"/>
    <w:rsid w:val="006E2A76"/>
    <w:rsid w:val="006E58BC"/>
    <w:rsid w:val="00833158"/>
    <w:rsid w:val="008F17BA"/>
    <w:rsid w:val="00A1025A"/>
    <w:rsid w:val="00BC1C0D"/>
    <w:rsid w:val="00C87C89"/>
    <w:rsid w:val="00D11A10"/>
    <w:rsid w:val="00D12BFA"/>
    <w:rsid w:val="291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801</Characters>
  <Lines>6</Lines>
  <Paragraphs>1</Paragraphs>
  <TotalTime>5</TotalTime>
  <ScaleCrop>false</ScaleCrop>
  <LinksUpToDate>false</LinksUpToDate>
  <CharactersWithSpaces>807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2020-06-04T02:20:00Z</dcterms:created>
  <dc:creator>dongYP</dc:creator>
  <cp:lastModifiedBy>BYX</cp:lastModifiedBy>
  <dcterms:modified xsi:type="dcterms:W3CDTF">2023-11-24T11:48:15Z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299B4961D5D144DFA6E34A52F3E26959_12</vt:lpwstr>
  </property>
</Properties>
</file>