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7.2.</w:t>
      </w:r>
      <w:r>
        <w:rPr>
          <w:rFonts w:hint="eastAsia" w:ascii="Times New Roman" w:hAnsi="Times New Roman" w:eastAsiaTheme="minorEastAsia"/>
        </w:rPr>
        <w:t>3采用机械式停车设施、地下停车库或地面停车楼等方式</w:t>
      </w:r>
      <w:r>
        <w:rPr>
          <w:rFonts w:ascii="Times New Roman" w:hAnsi="Times New Roman" w:eastAsiaTheme="minorEastAsia"/>
        </w:rPr>
        <w:t>。</w:t>
      </w:r>
      <w:r>
        <w:rPr>
          <w:rFonts w:hint="eastAsia" w:ascii="Times New Roman" w:hAnsi="Times New Roman" w:eastAsiaTheme="minorEastAsia"/>
        </w:rPr>
        <w:t>（总分8分）</w:t>
      </w:r>
    </w:p>
    <w:p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得分自评</w:t>
      </w:r>
    </w:p>
    <w:p>
      <w:pPr>
        <w:spacing w:before="100" w:line="288" w:lineRule="auto"/>
        <w:rPr>
          <w:rFonts w:eastAsiaTheme="minorEastAsia"/>
          <w:b/>
          <w:kern w:val="0"/>
        </w:rPr>
      </w:pPr>
      <w:sdt>
        <w:sdtPr>
          <w:rPr>
            <w:rFonts w:hint="eastAsia" w:eastAsiaTheme="minor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b/>
          <w:kern w:val="0"/>
        </w:rPr>
        <w:t>住宅建筑</w:t>
      </w:r>
    </w:p>
    <w:tbl>
      <w:tblPr>
        <w:tblStyle w:val="6"/>
        <w:tblW w:w="83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940"/>
        <w:gridCol w:w="1840"/>
        <w:gridCol w:w="1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住宅建筑地面停车位数量与住宅总套数的比率小于10%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before="100" w:line="288" w:lineRule="auto"/>
        <w:rPr>
          <w:rFonts w:cs="宋体" w:eastAsiaTheme="minorEastAsia"/>
          <w:bCs/>
          <w:lang w:val="zh-CN"/>
        </w:rPr>
      </w:pPr>
      <w:sdt>
        <w:sdtPr>
          <w:rPr>
            <w:rFonts w:hint="eastAsia" w:eastAsiaTheme="minorEastAsia"/>
            <w:sz w:val="28"/>
          </w:rPr>
          <w:id w:val="-2145169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b/>
          <w:bCs/>
          <w:lang w:val="zh-CN"/>
        </w:rPr>
        <w:t>公共建筑</w:t>
      </w:r>
    </w:p>
    <w:tbl>
      <w:tblPr>
        <w:tblStyle w:val="6"/>
        <w:tblW w:w="83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940"/>
        <w:gridCol w:w="1840"/>
        <w:gridCol w:w="1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公共建筑地面停车占地面积与其总建设用地面积的比率小于 8%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>
      <w:pPr>
        <w:spacing w:line="288" w:lineRule="auto"/>
        <w:rPr>
          <w:rFonts w:eastAsiaTheme="minorEastAsia"/>
          <w:b/>
          <w:kern w:val="0"/>
        </w:rPr>
      </w:pPr>
      <w:sdt>
        <w:sdtPr>
          <w:rPr>
            <w:rFonts w:hint="eastAsia" w:eastAsiaTheme="minorEastAsia"/>
            <w:sz w:val="28"/>
          </w:rPr>
          <w:id w:val="2490893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b/>
          <w:kern w:val="0"/>
        </w:rPr>
        <w:t>住宅建筑</w:t>
      </w:r>
    </w:p>
    <w:p>
      <w:pPr>
        <w:spacing w:line="288" w:lineRule="auto"/>
        <w:rPr>
          <w:rFonts w:cs="宋体" w:eastAsiaTheme="minorEastAsia"/>
        </w:rPr>
      </w:pPr>
      <w:r>
        <w:rPr>
          <w:rFonts w:hint="eastAsia" w:cs="宋体" w:eastAsiaTheme="minorEastAsia"/>
        </w:rPr>
        <w:t>停车位数量与住宅总套数比例：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hint="eastAsia" w:cs="宋体" w:eastAsiaTheme="minorEastAsia"/>
        </w:rPr>
        <w:t>%</w:t>
      </w:r>
    </w:p>
    <w:p>
      <w:pPr>
        <w:spacing w:before="100" w:line="288" w:lineRule="auto"/>
        <w:rPr>
          <w:rFonts w:cs="宋体" w:eastAsiaTheme="minorEastAsia"/>
          <w:bCs/>
          <w:lang w:val="zh-CN"/>
        </w:rPr>
      </w:pPr>
      <w:sdt>
        <w:sdtPr>
          <w:rPr>
            <w:rFonts w:hint="eastAsia" w:eastAsiaTheme="minorEastAsia"/>
            <w:sz w:val="28"/>
          </w:rPr>
          <w:id w:val="130843907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b/>
          <w:bCs/>
          <w:lang w:val="zh-CN"/>
        </w:rPr>
        <w:t>公共建筑</w:t>
      </w:r>
    </w:p>
    <w:p>
      <w:pPr>
        <w:spacing w:line="288" w:lineRule="auto"/>
        <w:rPr>
          <w:rFonts w:cs="宋体" w:eastAsiaTheme="minorEastAsia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地面停车占地面积与其总建设用地面积的比</w:t>
      </w:r>
      <w:r>
        <w:rPr>
          <w:rFonts w:hint="eastAsia" w:cs="宋体" w:eastAsiaTheme="minorEastAsia"/>
        </w:rPr>
        <w:t>比例：</w:t>
      </w:r>
      <w:r>
        <w:rPr>
          <w:rFonts w:hint="eastAsia" w:cs="宋体" w:eastAsiaTheme="minorEastAsia"/>
          <w:lang w:val="en-US" w:eastAsia="zh-CN"/>
        </w:rPr>
        <w:t>2.7</w:t>
      </w:r>
      <w:r>
        <w:rPr>
          <w:rFonts w:hint="eastAsia" w:cs="宋体" w:eastAsiaTheme="minorEastAsia"/>
        </w:rPr>
        <w:t>%</w:t>
      </w:r>
    </w:p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00"/>
        <w:gridCol w:w="3607"/>
        <w:gridCol w:w="1181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应注明停车设施位置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地面停车率计算书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rFonts w:hint="eastAsia" w:eastAsiaTheme="minorEastAsia"/>
          <w:b/>
        </w:rPr>
        <w:t>实</w:t>
      </w:r>
      <w:r>
        <w:rPr>
          <w:b/>
          <w:szCs w:val="21"/>
        </w:rPr>
        <w:t>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建筑总平面图</w:t>
            </w:r>
          </w:p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地面停车391辆，占地面积越为7038㎡，与总建设用地面积的比率为0.027.</w:t>
            </w:r>
          </w:p>
          <w:p>
            <w:pPr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 w:line="288" w:lineRule="auto"/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E21FD"/>
    <w:multiLevelType w:val="multilevel"/>
    <w:tmpl w:val="1F5E21FD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172A27"/>
    <w:rsid w:val="002164AE"/>
    <w:rsid w:val="003B0EC8"/>
    <w:rsid w:val="003E316C"/>
    <w:rsid w:val="006567D7"/>
    <w:rsid w:val="006E2A76"/>
    <w:rsid w:val="00755EE5"/>
    <w:rsid w:val="008F4EBF"/>
    <w:rsid w:val="00A92230"/>
    <w:rsid w:val="00C87AAA"/>
    <w:rsid w:val="00F902AA"/>
    <w:rsid w:val="00FB1A7C"/>
    <w:rsid w:val="00FB6058"/>
    <w:rsid w:val="7EF2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9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0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307</Characters>
  <Lines>2</Lines>
  <Paragraphs>1</Paragraphs>
  <TotalTime>3</TotalTime>
  <ScaleCrop>false</ScaleCrop>
  <LinksUpToDate>false</LinksUpToDate>
  <CharactersWithSpaces>323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2020-06-04T02:21:00Z</dcterms:created>
  <dc:creator>dongYP</dc:creator>
  <cp:lastModifiedBy>BYX</cp:lastModifiedBy>
  <dcterms:modified xsi:type="dcterms:W3CDTF">2023-11-24T11:24:55Z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8F99B6AFCAF6427B938CF5EA614D3C6D_12</vt:lpwstr>
  </property>
</Properties>
</file>