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</w:rPr>
        <w:t>8.2.3充分利用场地空间设置绿化用地。（总分16分）</w:t>
      </w:r>
    </w:p>
    <w:p>
      <w:pPr>
        <w:numPr>
          <w:ilvl w:val="0"/>
          <w:numId w:val="1"/>
        </w:numPr>
        <w:spacing w:line="288" w:lineRule="auto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得分自评</w:t>
      </w:r>
    </w:p>
    <w:p>
      <w:pPr>
        <w:spacing w:before="100" w:line="288" w:lineRule="auto"/>
        <w:rPr>
          <w:rFonts w:eastAsiaTheme="minorEastAsia"/>
          <w:color w:val="FF0000"/>
          <w:lang w:val="zh-CN"/>
        </w:rPr>
      </w:pPr>
      <w:sdt>
        <w:sdtPr>
          <w:rPr>
            <w:rFonts w:hint="eastAsia" w:eastAsiaTheme="minorEastAsia"/>
            <w:sz w:val="28"/>
          </w:rPr>
          <w:id w:val="-135988947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eastAsiaTheme="minorEastAsia"/>
          <w:sz w:val="28"/>
        </w:rPr>
        <w:t xml:space="preserve"> </w:t>
      </w:r>
      <w:r>
        <w:rPr>
          <w:rFonts w:hint="eastAsia" w:eastAsiaTheme="minorEastAsia"/>
          <w:b/>
          <w:bCs/>
          <w:lang w:val="zh-CN"/>
        </w:rPr>
        <w:t>住宅建筑</w:t>
      </w:r>
    </w:p>
    <w:tbl>
      <w:tblPr>
        <w:tblStyle w:val="6"/>
        <w:tblW w:w="83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2114"/>
        <w:gridCol w:w="1165"/>
        <w:gridCol w:w="1701"/>
        <w:gridCol w:w="1260"/>
        <w:gridCol w:w="1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9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9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绿地率达到规划指标 105% 及以上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住宅建筑所在居住街坊内人均集中绿地面积Ag(m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/人）</w:t>
            </w:r>
          </w:p>
        </w:tc>
        <w:tc>
          <w:tcPr>
            <w:tcW w:w="11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新区建设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0.50＜Ag＜0.60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Ag≥0.60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旧区改造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0.35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0.35＜Ag＜0.45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Ag≥0.45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spacing w:before="100" w:line="288" w:lineRule="auto"/>
        <w:rPr>
          <w:rFonts w:eastAsiaTheme="minorEastAsia"/>
          <w:color w:val="FF0000"/>
          <w:lang w:val="zh-CN"/>
        </w:rPr>
      </w:pPr>
      <w:sdt>
        <w:sdtPr>
          <w:rPr>
            <w:rFonts w:hint="eastAsia" w:eastAsiaTheme="minorEastAsia"/>
            <w:sz w:val="28"/>
          </w:rPr>
          <w:id w:val="-99156924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eastAsiaTheme="minorEastAsia"/>
          <w:sz w:val="28"/>
        </w:rPr>
        <w:t xml:space="preserve"> </w:t>
      </w:r>
      <w:r>
        <w:rPr>
          <w:rFonts w:hint="eastAsia" w:eastAsiaTheme="minorEastAsia"/>
          <w:b/>
          <w:bCs/>
          <w:lang w:val="zh-CN"/>
        </w:rPr>
        <w:t>公共建筑</w:t>
      </w:r>
    </w:p>
    <w:tbl>
      <w:tblPr>
        <w:tblStyle w:val="6"/>
        <w:tblW w:w="838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4536"/>
        <w:gridCol w:w="1559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公共建筑绿地率达到规划指标 105% 及以上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绿地向公众开放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</w:tr>
    </w:tbl>
    <w:p>
      <w:pPr>
        <w:numPr>
          <w:ilvl w:val="0"/>
          <w:numId w:val="1"/>
        </w:numPr>
        <w:spacing w:before="200" w:line="288" w:lineRule="auto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评价要点</w:t>
      </w:r>
    </w:p>
    <w:p>
      <w:pPr>
        <w:spacing w:before="100" w:line="288" w:lineRule="auto"/>
        <w:rPr>
          <w:rFonts w:eastAsiaTheme="minorEastAsia"/>
          <w:b/>
          <w:szCs w:val="21"/>
          <w:lang w:val="zh-CN"/>
        </w:rPr>
      </w:pPr>
      <w:sdt>
        <w:sdtPr>
          <w:rPr>
            <w:rFonts w:hint="eastAsia" w:eastAsiaTheme="minorEastAsia"/>
            <w:sz w:val="28"/>
          </w:rPr>
          <w:id w:val="-123531430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eastAsiaTheme="minorEastAsia"/>
          <w:sz w:val="28"/>
        </w:rPr>
        <w:t xml:space="preserve"> </w:t>
      </w:r>
      <w:r>
        <w:rPr>
          <w:rFonts w:hint="eastAsia" w:eastAsiaTheme="minorEastAsia"/>
          <w:b/>
          <w:szCs w:val="21"/>
          <w:lang w:val="zh-CN"/>
        </w:rPr>
        <w:t>住宅建筑</w:t>
      </w:r>
    </w:p>
    <w:p>
      <w:pPr>
        <w:pStyle w:val="12"/>
        <w:numPr>
          <w:ilvl w:val="0"/>
          <w:numId w:val="2"/>
        </w:numPr>
        <w:spacing w:before="100" w:line="288" w:lineRule="auto"/>
        <w:ind w:left="632" w:leftChars="100" w:hanging="422" w:hangingChars="200"/>
        <w:rPr>
          <w:rFonts w:eastAsiaTheme="minorEastAsia"/>
          <w:b/>
        </w:rPr>
      </w:pPr>
      <w:r>
        <w:rPr>
          <w:rFonts w:hint="eastAsia" w:eastAsiaTheme="minorEastAsia"/>
          <w:b/>
        </w:rPr>
        <w:t>住区</w:t>
      </w:r>
      <w:r>
        <w:rPr>
          <w:rFonts w:hint="eastAsia" w:eastAsiaTheme="minorEastAsia"/>
          <w:b/>
          <w:lang w:val="zh-CN"/>
        </w:rPr>
        <w:t>人均</w:t>
      </w:r>
      <w:r>
        <w:rPr>
          <w:rFonts w:hint="eastAsia" w:eastAsiaTheme="minorEastAsia"/>
          <w:b/>
        </w:rPr>
        <w:t>公共绿地面积：</w:t>
      </w:r>
    </w:p>
    <w:p>
      <w:pPr>
        <w:spacing w:line="288" w:lineRule="auto"/>
        <w:rPr>
          <w:rFonts w:eastAsiaTheme="minorEastAsia"/>
          <w:szCs w:val="21"/>
          <w:vertAlign w:val="superscript"/>
          <w:lang w:val="zh-CN"/>
        </w:rPr>
      </w:pPr>
      <w:r>
        <w:rPr>
          <w:rFonts w:hint="eastAsia" w:eastAsiaTheme="minorEastAsia"/>
          <w:szCs w:val="21"/>
          <w:lang w:val="zh-CN"/>
        </w:rPr>
        <w:t>住区总公共绿地面积：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  <w:r>
        <w:rPr>
          <w:rFonts w:eastAsiaTheme="minorEastAsia"/>
          <w:szCs w:val="21"/>
          <w:lang w:val="zh-CN"/>
        </w:rPr>
        <w:t>m</w:t>
      </w:r>
      <w:r>
        <w:rPr>
          <w:rFonts w:eastAsiaTheme="minorEastAsia"/>
          <w:szCs w:val="21"/>
          <w:vertAlign w:val="superscript"/>
          <w:lang w:val="zh-CN"/>
        </w:rPr>
        <w:t>2</w:t>
      </w:r>
    </w:p>
    <w:p>
      <w:pPr>
        <w:spacing w:line="288" w:lineRule="auto"/>
        <w:rPr>
          <w:rFonts w:eastAsiaTheme="minorEastAsia"/>
          <w:szCs w:val="21"/>
        </w:rPr>
      </w:pPr>
      <w:r>
        <w:rPr>
          <w:rFonts w:hint="eastAsia" w:eastAsiaTheme="minorEastAsia"/>
          <w:szCs w:val="21"/>
          <w:lang w:val="zh-CN"/>
        </w:rPr>
        <w:t>居住人口人</w:t>
      </w:r>
      <w:r>
        <w:rPr>
          <w:rFonts w:hint="eastAsia" w:eastAsiaTheme="minorEastAsia"/>
          <w:szCs w:val="21"/>
        </w:rPr>
        <w:t>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  <w:r>
        <w:rPr>
          <w:rFonts w:hint="eastAsia" w:eastAsiaTheme="minorEastAsia"/>
          <w:lang w:val="zh-CN"/>
        </w:rPr>
        <w:t>人</w:t>
      </w:r>
      <w:r>
        <w:rPr>
          <w:rFonts w:hint="eastAsia" w:eastAsiaTheme="minorEastAsia"/>
          <w:szCs w:val="21"/>
          <w:lang w:val="zh-CN"/>
        </w:rPr>
        <w:t>（若当地有具体规定，应按照当地规定取值，如无统一规定按每户3.2人计算）</w:t>
      </w:r>
    </w:p>
    <w:p>
      <w:pPr>
        <w:spacing w:line="288" w:lineRule="auto"/>
        <w:rPr>
          <w:rFonts w:eastAsiaTheme="minorEastAsia"/>
          <w:szCs w:val="21"/>
        </w:rPr>
      </w:pPr>
      <w:r>
        <w:rPr>
          <w:rFonts w:hint="eastAsia" w:eastAsiaTheme="minorEastAsia"/>
          <w:szCs w:val="21"/>
          <w:lang w:val="zh-CN"/>
        </w:rPr>
        <w:t>人均集中绿地面积：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  <w:r>
        <w:rPr>
          <w:rFonts w:eastAsiaTheme="minorEastAsia"/>
          <w:szCs w:val="21"/>
          <w:lang w:val="zh-CN"/>
        </w:rPr>
        <w:t>m</w:t>
      </w:r>
      <w:r>
        <w:rPr>
          <w:rFonts w:eastAsiaTheme="minorEastAsia"/>
          <w:szCs w:val="21"/>
          <w:vertAlign w:val="superscript"/>
          <w:lang w:val="zh-CN"/>
        </w:rPr>
        <w:t>2</w:t>
      </w:r>
    </w:p>
    <w:p>
      <w:pPr>
        <w:pStyle w:val="12"/>
        <w:numPr>
          <w:ilvl w:val="0"/>
          <w:numId w:val="2"/>
        </w:numPr>
        <w:spacing w:before="100"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住区绿地率：</w:t>
      </w:r>
    </w:p>
    <w:p>
      <w:pPr>
        <w:spacing w:line="288" w:lineRule="auto"/>
        <w:rPr>
          <w:rFonts w:eastAsiaTheme="minorEastAsia"/>
          <w:szCs w:val="21"/>
          <w:vertAlign w:val="superscript"/>
          <w:lang w:val="zh-CN"/>
        </w:rPr>
      </w:pPr>
      <w:r>
        <w:rPr>
          <w:rFonts w:hint="eastAsia" w:eastAsiaTheme="minorEastAsia"/>
          <w:szCs w:val="21"/>
          <w:lang w:val="zh-CN"/>
        </w:rPr>
        <w:t>住区绿地面积：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  <w:r>
        <w:rPr>
          <w:rFonts w:eastAsiaTheme="minorEastAsia"/>
          <w:szCs w:val="21"/>
          <w:lang w:val="zh-CN"/>
        </w:rPr>
        <w:t>m</w:t>
      </w:r>
      <w:r>
        <w:rPr>
          <w:rFonts w:eastAsiaTheme="minorEastAsia"/>
          <w:szCs w:val="21"/>
          <w:vertAlign w:val="superscript"/>
          <w:lang w:val="zh-CN"/>
        </w:rPr>
        <w:t>2</w:t>
      </w:r>
    </w:p>
    <w:p>
      <w:pPr>
        <w:spacing w:line="288" w:lineRule="auto"/>
        <w:rPr>
          <w:rFonts w:eastAsiaTheme="minorEastAsia"/>
          <w:szCs w:val="21"/>
        </w:rPr>
      </w:pPr>
      <w:r>
        <w:rPr>
          <w:rFonts w:hint="eastAsia" w:eastAsiaTheme="minorEastAsia"/>
          <w:szCs w:val="21"/>
          <w:lang w:val="zh-CN"/>
        </w:rPr>
        <w:t>住区用地面积：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  <w:r>
        <w:rPr>
          <w:rFonts w:eastAsiaTheme="minorEastAsia"/>
          <w:szCs w:val="21"/>
          <w:lang w:val="zh-CN"/>
        </w:rPr>
        <w:t>m</w:t>
      </w:r>
      <w:r>
        <w:rPr>
          <w:rFonts w:eastAsiaTheme="minorEastAsia"/>
          <w:szCs w:val="21"/>
          <w:vertAlign w:val="superscript"/>
          <w:lang w:val="zh-CN"/>
        </w:rPr>
        <w:t>2</w:t>
      </w:r>
    </w:p>
    <w:p>
      <w:pPr>
        <w:spacing w:line="288" w:lineRule="auto"/>
        <w:rPr>
          <w:rFonts w:eastAsiaTheme="minorEastAsia"/>
          <w:szCs w:val="21"/>
          <w:lang w:val="zh-CN"/>
        </w:rPr>
      </w:pPr>
      <w:r>
        <w:rPr>
          <w:rFonts w:hint="eastAsia" w:eastAsiaTheme="minorEastAsia"/>
          <w:szCs w:val="21"/>
          <w:lang w:val="zh-CN"/>
        </w:rPr>
        <w:t>住区绿地率：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  <w:r>
        <w:rPr>
          <w:rFonts w:eastAsiaTheme="minorEastAsia"/>
          <w:szCs w:val="21"/>
          <w:lang w:val="zh-CN"/>
        </w:rPr>
        <w:t>%</w:t>
      </w:r>
    </w:p>
    <w:p>
      <w:pPr>
        <w:spacing w:before="100" w:line="288" w:lineRule="auto"/>
        <w:rPr>
          <w:rFonts w:eastAsiaTheme="minorEastAsia"/>
          <w:b/>
          <w:szCs w:val="21"/>
          <w:lang w:val="zh-CN"/>
        </w:rPr>
      </w:pPr>
      <w:sdt>
        <w:sdtPr>
          <w:rPr>
            <w:rFonts w:hint="eastAsia" w:eastAsiaTheme="minorEastAsia"/>
            <w:sz w:val="28"/>
          </w:rPr>
          <w:id w:val="-48578137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eastAsiaTheme="minorEastAsia"/>
          <w:sz w:val="28"/>
        </w:rPr>
        <w:t xml:space="preserve"> </w:t>
      </w:r>
      <w:r>
        <w:rPr>
          <w:rFonts w:hint="eastAsia" w:eastAsiaTheme="minorEastAsia"/>
          <w:b/>
          <w:szCs w:val="21"/>
          <w:lang w:val="zh-CN"/>
        </w:rPr>
        <w:t>公共建筑</w:t>
      </w:r>
    </w:p>
    <w:p>
      <w:pPr>
        <w:pStyle w:val="12"/>
        <w:numPr>
          <w:ilvl w:val="0"/>
          <w:numId w:val="2"/>
        </w:numPr>
        <w:spacing w:before="100"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绿地率：</w:t>
      </w:r>
    </w:p>
    <w:p>
      <w:pPr>
        <w:spacing w:line="288" w:lineRule="auto"/>
        <w:rPr>
          <w:rFonts w:eastAsiaTheme="minorEastAsia"/>
          <w:szCs w:val="21"/>
          <w:vertAlign w:val="superscript"/>
          <w:lang w:val="zh-CN"/>
        </w:rPr>
      </w:pPr>
      <w:r>
        <w:rPr>
          <w:rFonts w:hint="eastAsia" w:eastAsiaTheme="minorEastAsia"/>
          <w:szCs w:val="21"/>
          <w:lang w:val="zh-CN"/>
        </w:rPr>
        <w:t>项目绿地面积：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en-US" w:eastAsia="zh-CN"/>
        </w:rPr>
        <w:t>105367.00</w:t>
      </w:r>
      <w:r>
        <w:rPr>
          <w:rFonts w:hint="eastAsia" w:eastAsiaTheme="minorEastAsia"/>
          <w:u w:val="single"/>
          <w:lang w:val="zh-CN"/>
        </w:rPr>
        <w:t xml:space="preserve">  </w:t>
      </w:r>
      <w:r>
        <w:rPr>
          <w:rFonts w:eastAsiaTheme="minorEastAsia"/>
          <w:szCs w:val="21"/>
          <w:lang w:val="zh-CN"/>
        </w:rPr>
        <w:t>m</w:t>
      </w:r>
      <w:r>
        <w:rPr>
          <w:rFonts w:eastAsiaTheme="minorEastAsia"/>
          <w:szCs w:val="21"/>
          <w:vertAlign w:val="superscript"/>
          <w:lang w:val="zh-CN"/>
        </w:rPr>
        <w:t>2</w:t>
      </w:r>
    </w:p>
    <w:p>
      <w:pPr>
        <w:spacing w:line="288" w:lineRule="auto"/>
        <w:rPr>
          <w:rFonts w:eastAsiaTheme="minorEastAsia"/>
          <w:szCs w:val="21"/>
        </w:rPr>
      </w:pPr>
      <w:r>
        <w:rPr>
          <w:rFonts w:hint="eastAsia" w:eastAsiaTheme="minorEastAsia"/>
          <w:szCs w:val="21"/>
          <w:lang w:val="zh-CN"/>
        </w:rPr>
        <w:t>项目用地面积：</w:t>
      </w:r>
      <w:r>
        <w:rPr>
          <w:rFonts w:eastAsiaTheme="minorEastAsia"/>
          <w:lang w:val="zh-CN"/>
        </w:rPr>
        <w:t>_</w:t>
      </w:r>
      <w:r>
        <w:rPr>
          <w:rFonts w:hint="eastAsia" w:eastAsiaTheme="minorEastAsia"/>
          <w:lang w:val="en-US" w:eastAsia="zh-CN"/>
        </w:rPr>
        <w:t>263417.00</w:t>
      </w:r>
      <w:r>
        <w:rPr>
          <w:rFonts w:eastAsiaTheme="minorEastAsia"/>
          <w:lang w:val="zh-CN"/>
        </w:rPr>
        <w:t>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  <w:r>
        <w:rPr>
          <w:rFonts w:eastAsiaTheme="minorEastAsia"/>
          <w:szCs w:val="21"/>
          <w:lang w:val="zh-CN"/>
        </w:rPr>
        <w:t>m</w:t>
      </w:r>
      <w:r>
        <w:rPr>
          <w:rFonts w:eastAsiaTheme="minorEastAsia"/>
          <w:szCs w:val="21"/>
          <w:vertAlign w:val="superscript"/>
          <w:lang w:val="zh-CN"/>
        </w:rPr>
        <w:t>2</w:t>
      </w:r>
    </w:p>
    <w:p>
      <w:pPr>
        <w:spacing w:line="288" w:lineRule="auto"/>
        <w:rPr>
          <w:rFonts w:eastAsiaTheme="minorEastAsia"/>
          <w:szCs w:val="21"/>
          <w:lang w:val="zh-CN"/>
        </w:rPr>
      </w:pPr>
      <w:r>
        <w:rPr>
          <w:rFonts w:hint="eastAsia" w:eastAsiaTheme="minorEastAsia"/>
          <w:szCs w:val="21"/>
          <w:lang w:val="zh-CN"/>
        </w:rPr>
        <w:t>项目绿地率：</w:t>
      </w:r>
      <w:r>
        <w:rPr>
          <w:rFonts w:eastAsiaTheme="minorEastAsia"/>
          <w:lang w:val="zh-CN"/>
        </w:rPr>
        <w:t>__</w:t>
      </w:r>
      <w:r>
        <w:rPr>
          <w:rFonts w:hint="eastAsia" w:eastAsiaTheme="minorEastAsia"/>
          <w:lang w:val="en-US" w:eastAsia="zh-CN"/>
        </w:rPr>
        <w:t>40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  <w:r>
        <w:rPr>
          <w:rFonts w:eastAsiaTheme="minorEastAsia"/>
          <w:szCs w:val="21"/>
          <w:lang w:val="zh-CN"/>
        </w:rPr>
        <w:t>%</w:t>
      </w:r>
    </w:p>
    <w:p>
      <w:pPr>
        <w:pStyle w:val="12"/>
        <w:numPr>
          <w:ilvl w:val="0"/>
          <w:numId w:val="2"/>
        </w:numPr>
        <w:spacing w:before="100"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绿地向社会公众开放：</w:t>
      </w:r>
    </w:p>
    <w:p>
      <w:pPr>
        <w:spacing w:line="288" w:lineRule="auto"/>
        <w:rPr>
          <w:rFonts w:eastAsiaTheme="minorEastAsia"/>
          <w:szCs w:val="21"/>
        </w:rPr>
      </w:pPr>
      <w:r>
        <w:rPr>
          <w:rFonts w:hint="eastAsia" w:eastAsiaTheme="minorEastAsia"/>
          <w:szCs w:val="21"/>
        </w:rPr>
        <w:t>项目绿地是否是：</w:t>
      </w:r>
      <w:sdt>
        <w:sdtPr>
          <w:rPr>
            <w:rFonts w:hint="eastAsia" w:eastAsiaTheme="minorEastAsia"/>
            <w:sz w:val="28"/>
          </w:rPr>
          <w:id w:val="-204644234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szCs w:val="21"/>
          <w:lang w:val="zh-CN"/>
        </w:rPr>
        <w:t xml:space="preserve">幼儿园 </w:t>
      </w:r>
      <w:sdt>
        <w:sdtPr>
          <w:rPr>
            <w:rFonts w:hint="eastAsia" w:eastAsiaTheme="minorEastAsia"/>
            <w:sz w:val="28"/>
          </w:rPr>
          <w:id w:val="68039787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szCs w:val="21"/>
          <w:lang w:val="zh-CN"/>
        </w:rPr>
        <w:t xml:space="preserve">小学 </w:t>
      </w:r>
      <w:sdt>
        <w:sdtPr>
          <w:rPr>
            <w:rFonts w:hint="eastAsia" w:eastAsiaTheme="minorEastAsia"/>
            <w:sz w:val="28"/>
          </w:rPr>
          <w:id w:val="-177578118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szCs w:val="21"/>
          <w:lang w:val="zh-CN"/>
        </w:rPr>
        <w:t>中学</w:t>
      </w:r>
      <w:r>
        <w:rPr>
          <w:rFonts w:hint="eastAsia" w:eastAsiaTheme="minorEastAsia"/>
          <w:sz w:val="28"/>
        </w:rPr>
        <w:t xml:space="preserve"> </w:t>
      </w:r>
      <w:sdt>
        <w:sdtPr>
          <w:rPr>
            <w:rFonts w:hint="eastAsia" w:eastAsiaTheme="minorEastAsia"/>
            <w:sz w:val="28"/>
          </w:rPr>
          <w:id w:val="91529302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szCs w:val="21"/>
          <w:lang w:val="zh-CN"/>
        </w:rPr>
        <w:t xml:space="preserve">医院 </w:t>
      </w:r>
      <w:sdt>
        <w:sdtPr>
          <w:rPr>
            <w:rFonts w:hint="eastAsia" w:eastAsiaTheme="minorEastAsia"/>
            <w:sz w:val="28"/>
          </w:rPr>
          <w:id w:val="213374349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szCs w:val="21"/>
          <w:lang w:val="zh-CN"/>
        </w:rPr>
        <w:t>其他</w:t>
      </w:r>
    </w:p>
    <w:p>
      <w:pPr>
        <w:spacing w:line="288" w:lineRule="auto"/>
        <w:rPr>
          <w:rFonts w:eastAsiaTheme="minorEastAsia"/>
          <w:sz w:val="24"/>
          <w:szCs w:val="30"/>
        </w:rPr>
      </w:pPr>
      <w:r>
        <w:rPr>
          <w:rFonts w:hint="eastAsia" w:eastAsiaTheme="minorEastAsia"/>
          <w:szCs w:val="21"/>
        </w:rPr>
        <w:t>项目绿地是否向社会公众开放：</w:t>
      </w:r>
      <w:sdt>
        <w:sdtPr>
          <w:rPr>
            <w:rFonts w:hint="eastAsia" w:eastAsiaTheme="minorEastAsia"/>
            <w:sz w:val="28"/>
          </w:rPr>
          <w:id w:val="105991515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szCs w:val="21"/>
          <w:lang w:val="zh-CN"/>
        </w:rPr>
        <w:t>是、</w:t>
      </w:r>
      <w:sdt>
        <w:sdtPr>
          <w:rPr>
            <w:rFonts w:hint="eastAsia" w:eastAsiaTheme="minorEastAsia"/>
            <w:sz w:val="28"/>
          </w:rPr>
          <w:id w:val="12071457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szCs w:val="21"/>
          <w:lang w:val="zh-CN"/>
        </w:rPr>
        <w:t>否</w:t>
      </w:r>
    </w:p>
    <w:p>
      <w:pPr>
        <w:numPr>
          <w:ilvl w:val="0"/>
          <w:numId w:val="1"/>
        </w:numPr>
        <w:spacing w:before="200" w:line="288" w:lineRule="auto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证明材料</w:t>
      </w:r>
    </w:p>
    <w:p>
      <w:pPr>
        <w:spacing w:before="156" w:beforeLines="50" w:after="156" w:afterLines="50" w:line="288" w:lineRule="auto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6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3"/>
        <w:gridCol w:w="3613"/>
        <w:gridCol w:w="1184"/>
        <w:gridCol w:w="7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建筑总平面图</w:t>
            </w:r>
          </w:p>
        </w:tc>
        <w:tc>
          <w:tcPr>
            <w:tcW w:w="36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应包括项目总用地面积，总户数、总人口、等技术经济指标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公共建筑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住宅建筑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住宅建筑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应体现公共绿地位置、公共绿地面积技术经济指标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住宅建筑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应体现绿地位置、绿地面积、绿地率等技术经济指标（指标要求与自评一致）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公共建筑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住宅建筑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日照模拟分析报告</w:t>
            </w:r>
          </w:p>
        </w:tc>
        <w:tc>
          <w:tcPr>
            <w:tcW w:w="3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应体现绿地的日照和阴影情况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住宅建筑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人均公共绿地面积计算书</w:t>
            </w:r>
          </w:p>
        </w:tc>
        <w:tc>
          <w:tcPr>
            <w:tcW w:w="3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应包括公共绿地的位置、面积指标，公共绿地的日照和阴影情况以及人均公共绿地面积的计算结果（指标要求与自评一致）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住宅建筑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公共建筑绿地是否对外开放的说明</w:t>
            </w:r>
          </w:p>
        </w:tc>
        <w:tc>
          <w:tcPr>
            <w:tcW w:w="3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应包括绿地向社会公众开放的规章制度和具体措施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公共建筑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建筑总平面图</w:t>
            </w:r>
            <w:bookmarkStart w:id="0" w:name="_GoBack"/>
            <w:bookmarkEnd w:id="0"/>
          </w:p>
        </w:tc>
      </w:tr>
    </w:tbl>
    <w:p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Rom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B606A7"/>
    <w:multiLevelType w:val="multilevel"/>
    <w:tmpl w:val="21B606A7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lYjlkOTRjNjI3YmU1ZGQ5Y2Y2MGIxYTFmODZkNjMifQ=="/>
  </w:docVars>
  <w:rsids>
    <w:rsidRoot w:val="00830EC7"/>
    <w:rsid w:val="00055944"/>
    <w:rsid w:val="00084826"/>
    <w:rsid w:val="00087BBA"/>
    <w:rsid w:val="001A5FCE"/>
    <w:rsid w:val="003C7D32"/>
    <w:rsid w:val="005B59CA"/>
    <w:rsid w:val="006E2A76"/>
    <w:rsid w:val="00830EC7"/>
    <w:rsid w:val="009D438B"/>
    <w:rsid w:val="00A0433A"/>
    <w:rsid w:val="00B0325D"/>
    <w:rsid w:val="00CC192B"/>
    <w:rsid w:val="4CC1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11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3 Char"/>
    <w:basedOn w:val="8"/>
    <w:link w:val="3"/>
    <w:qFormat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character" w:customStyle="1" w:styleId="13">
    <w:name w:val="标题 2 Char"/>
    <w:basedOn w:val="8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</Words>
  <Characters>890</Characters>
  <Lines>7</Lines>
  <Paragraphs>2</Paragraphs>
  <TotalTime>1</TotalTime>
  <ScaleCrop>false</ScaleCrop>
  <LinksUpToDate>false</LinksUpToDate>
  <CharactersWithSpaces>1043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2020-06-04T02:29:00Z</dcterms:created>
  <dc:creator>dongYP</dc:creator>
  <cp:lastModifiedBy>景午午</cp:lastModifiedBy>
  <dcterms:modified xsi:type="dcterms:W3CDTF">2023-11-24T09:24:05Z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F584F1DA248742F1B3961761145FC3F4_12</vt:lpwstr>
  </property>
</Properties>
</file>