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5.2.1控制室内主要空气污染物的浓度。（总分12分）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tbl>
      <w:tblPr>
        <w:tblStyle w:val="7"/>
        <w:tblW w:w="86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097"/>
        <w:gridCol w:w="850"/>
        <w:gridCol w:w="1137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氨、甲醛、苯、总挥发性有机物、氡等污染物浓度低于现行国家标准《室内空气质量标准》 GB/T 18883 规定限值的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10%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50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20%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 年均浓度不高于 25µg/m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, 且室内 PM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 xml:space="preserve"> 年均浓度不高于 50µg/m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spacing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空气污染物浓度：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szCs w:val="21"/>
          <w:lang w:val="zh-CN"/>
        </w:rPr>
        <w:t>主要功能房间污染物浓度检测结果：</w:t>
      </w:r>
    </w:p>
    <w:tbl>
      <w:tblPr>
        <w:tblStyle w:val="7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93"/>
        <w:gridCol w:w="1285"/>
        <w:gridCol w:w="1417"/>
        <w:gridCol w:w="1276"/>
        <w:gridCol w:w="1276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房间类型</w:t>
            </w:r>
          </w:p>
        </w:tc>
        <w:tc>
          <w:tcPr>
            <w:tcW w:w="993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氨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8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甲醛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苯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TVOC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(mg/m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氡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eastAsiaTheme="minorEastAsia"/>
                <w:b/>
                <w:bCs/>
                <w:szCs w:val="21"/>
              </w:rPr>
              <w:t>(Bq/m</w:t>
            </w:r>
            <w:r>
              <w:rPr>
                <w:rFonts w:eastAsiaTheme="minorEastAsia"/>
                <w:b/>
                <w:bCs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污染物浓度</w:t>
            </w: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sz w:val="21"/>
                <w:szCs w:val="21"/>
              </w:rPr>
              <w:t>是否超标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0.20</w:t>
            </w:r>
          </w:p>
        </w:tc>
        <w:tc>
          <w:tcPr>
            <w:tcW w:w="1285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0.10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0.11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0.60</w:t>
            </w:r>
          </w:p>
        </w:tc>
        <w:tc>
          <w:tcPr>
            <w:tcW w:w="1276" w:type="dxa"/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标准值</w:t>
            </w:r>
          </w:p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szCs w:val="21"/>
              </w:rPr>
            </w:pPr>
            <w:r>
              <w:rPr>
                <w:rFonts w:hint="eastAsia" w:eastAsiaTheme="minorEastAsia"/>
                <w:b/>
                <w:bCs/>
                <w:szCs w:val="21"/>
              </w:rPr>
              <w:t>≤</w:t>
            </w:r>
            <w:r>
              <w:rPr>
                <w:rFonts w:eastAsiaTheme="minorEastAsia"/>
                <w:b/>
                <w:bCs/>
                <w:szCs w:val="21"/>
              </w:rPr>
              <w:t>400</w:t>
            </w:r>
          </w:p>
        </w:tc>
        <w:tc>
          <w:tcPr>
            <w:tcW w:w="1412" w:type="dxa"/>
            <w:vMerge w:val="continue"/>
            <w:vAlign w:val="center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宿舍</w:t>
            </w:r>
          </w:p>
        </w:tc>
        <w:tc>
          <w:tcPr>
            <w:tcW w:w="99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8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0.031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default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0.330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1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iCs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9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pStyle w:val="1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>
      <w:pPr>
        <w:spacing w:line="288" w:lineRule="auto"/>
        <w:rPr>
          <w:rFonts w:eastAsiaTheme="minorEastAsia"/>
          <w:szCs w:val="21"/>
          <w:lang w:val="zh-CN"/>
        </w:rPr>
      </w:pP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588"/>
        <w:gridCol w:w="2520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spacing w:line="288" w:lineRule="auto"/>
              <w:jc w:val="center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房间类型</w:t>
            </w:r>
          </w:p>
        </w:tc>
        <w:tc>
          <w:tcPr>
            <w:tcW w:w="2588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  <w:vertAlign w:val="subscript"/>
              </w:rPr>
              <w:t>2.5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 xml:space="preserve"> 年均浓度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(</w:t>
            </w: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u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g/m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)</w:t>
            </w:r>
          </w:p>
        </w:tc>
        <w:tc>
          <w:tcPr>
            <w:tcW w:w="2520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kern w:val="0"/>
                <w:sz w:val="20"/>
                <w:szCs w:val="21"/>
                <w:lang w:val="zh-CN"/>
              </w:rPr>
            </w:pP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>室内 PM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  <w:vertAlign w:val="subscript"/>
              </w:rPr>
              <w:t>10</w:t>
            </w:r>
            <w:r>
              <w:rPr>
                <w:rFonts w:hint="eastAsia" w:cs="宋体" w:eastAsiaTheme="minorEastAsia"/>
                <w:b/>
                <w:color w:val="000000"/>
                <w:kern w:val="0"/>
                <w:sz w:val="22"/>
                <w:szCs w:val="22"/>
              </w:rPr>
              <w:t xml:space="preserve"> 年均浓度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(</w:t>
            </w: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u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g/m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  <w:vertAlign w:val="superscript"/>
              </w:rPr>
              <w:t>3</w:t>
            </w:r>
            <w:r>
              <w:rPr>
                <w:rFonts w:eastAsiaTheme="minorEastAsia"/>
                <w:b/>
                <w:bCs/>
                <w:kern w:val="0"/>
                <w:sz w:val="20"/>
                <w:szCs w:val="21"/>
              </w:rPr>
              <w:t>)</w:t>
            </w:r>
          </w:p>
        </w:tc>
        <w:tc>
          <w:tcPr>
            <w:tcW w:w="2689" w:type="dxa"/>
            <w:vMerge w:val="restart"/>
          </w:tcPr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</w:p>
          <w:p>
            <w:pPr>
              <w:pStyle w:val="1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2"/>
                <w:sz w:val="21"/>
                <w:szCs w:val="21"/>
              </w:rPr>
              <w:t>污染物浓度是否超标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标准值≤25</w:t>
            </w:r>
          </w:p>
        </w:tc>
        <w:tc>
          <w:tcPr>
            <w:tcW w:w="2520" w:type="dxa"/>
          </w:tcPr>
          <w:p>
            <w:pPr>
              <w:spacing w:line="288" w:lineRule="auto"/>
              <w:jc w:val="center"/>
              <w:rPr>
                <w:rFonts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0"/>
                <w:szCs w:val="21"/>
              </w:rPr>
              <w:t>标准值≤50</w:t>
            </w:r>
          </w:p>
        </w:tc>
        <w:tc>
          <w:tcPr>
            <w:tcW w:w="2689" w:type="dxa"/>
            <w:vMerge w:val="continue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88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520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  <w:tc>
          <w:tcPr>
            <w:tcW w:w="2689" w:type="dxa"/>
          </w:tcPr>
          <w:p>
            <w:pPr>
              <w:spacing w:line="288" w:lineRule="auto"/>
              <w:rPr>
                <w:rFonts w:eastAsiaTheme="minorEastAsia"/>
                <w:kern w:val="0"/>
                <w:sz w:val="20"/>
                <w:szCs w:val="21"/>
                <w:lang w:val="zh-CN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707"/>
        <w:gridCol w:w="3794"/>
        <w:gridCol w:w="1182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建筑及装修材料使用说明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应包括建筑及装修材料的种类、用量等信息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污染物浓度预评估分析报告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应包括室内甲醛、苯、总挥发性有机物等主要污染物浓度的评估分析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室内空气质量现场检测报告</w:t>
            </w:r>
          </w:p>
        </w:tc>
        <w:tc>
          <w:tcPr>
            <w:tcW w:w="3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建筑内应具有颗粒物浓度监测传感设备，至少每小时对建筑内颗粒物浓度进行一次记录、存储，连续监测一年后取算数平均值。对于住宅建筑，应对每种户型主要功能房间进行全年监测；对于公共建筑，应对每层选取一个主要功能房间进行全年监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建筑施工图、5宿舍室内</w:t>
            </w:r>
            <w:bookmarkStart w:id="0" w:name="_GoBack"/>
            <w:bookmarkEnd w:id="0"/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空气质量预评估</w:t>
            </w:r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A623C"/>
    <w:multiLevelType w:val="multilevel"/>
    <w:tmpl w:val="0A5A623C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2D633B"/>
    <w:rsid w:val="002D633B"/>
    <w:rsid w:val="00353692"/>
    <w:rsid w:val="003A612C"/>
    <w:rsid w:val="00530743"/>
    <w:rsid w:val="00561609"/>
    <w:rsid w:val="00673FFF"/>
    <w:rsid w:val="006E2A76"/>
    <w:rsid w:val="00C11B8B"/>
    <w:rsid w:val="00C27724"/>
    <w:rsid w:val="00D97530"/>
    <w:rsid w:val="00DB411C"/>
    <w:rsid w:val="00E83222"/>
    <w:rsid w:val="00E85CC7"/>
    <w:rsid w:val="00EF5E70"/>
    <w:rsid w:val="037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8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618</Characters>
  <Lines>5</Lines>
  <Paragraphs>1</Paragraphs>
  <TotalTime>9</TotalTime>
  <ScaleCrop>false</ScaleCrop>
  <LinksUpToDate>false</LinksUpToDate>
  <CharactersWithSpaces>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2020-06-04T02:08:00Z</dcterms:created>
  <dc:creator>dongYP</dc:creator>
  <cp:lastModifiedBy>BYX</cp:lastModifiedBy>
  <dcterms:modified xsi:type="dcterms:W3CDTF">2023-11-24T12:16:08Z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37CD9E507B3541BC926C5C68946C4F36_12</vt:lpwstr>
  </property>
</Properties>
</file>