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spacing w:line="288" w:lineRule="auto"/>
        <w:rPr>
          <w:rFonts w:ascii="Times New Roman" w:hAnsi="Times New Roman" w:eastAsiaTheme="minorEastAsia"/>
        </w:rPr>
      </w:pPr>
      <w:r>
        <w:rPr>
          <w:rFonts w:hint="eastAsia" w:ascii="Times New Roman" w:hAnsi="Times New Roman" w:eastAsiaTheme="minorEastAsia"/>
        </w:rPr>
        <w:t>5.2.6采取措施优化主要功能房间的室内声环境。（总分8分）</w:t>
      </w:r>
    </w:p>
    <w:p>
      <w:pPr>
        <w:pStyle w:val="16"/>
        <w:numPr>
          <w:ilvl w:val="0"/>
          <w:numId w:val="1"/>
        </w:numPr>
        <w:spacing w:line="288" w:lineRule="auto"/>
        <w:ind w:firstLineChars="0"/>
        <w:jc w:val="left"/>
        <w:rPr>
          <w:rFonts w:eastAsiaTheme="minorEastAsia"/>
          <w:b/>
          <w:sz w:val="24"/>
        </w:rPr>
      </w:pPr>
      <w:r>
        <w:rPr>
          <w:rFonts w:hint="eastAsia" w:eastAsiaTheme="minorEastAsia"/>
          <w:b/>
          <w:sz w:val="24"/>
        </w:rPr>
        <w:t>得分自评</w:t>
      </w:r>
    </w:p>
    <w:tbl>
      <w:tblPr>
        <w:tblStyle w:val="7"/>
        <w:tblW w:w="8500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0"/>
        <w:gridCol w:w="5107"/>
        <w:gridCol w:w="1418"/>
        <w:gridCol w:w="127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eastAsiaTheme="minorEastAsi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cs="宋体" w:eastAsiaTheme="minorEastAsia"/>
                <w:b/>
                <w:bCs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51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eastAsiaTheme="minorEastAsi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cs="宋体" w:eastAsiaTheme="minorEastAsia"/>
                <w:b/>
                <w:bCs/>
                <w:color w:val="000000"/>
                <w:kern w:val="0"/>
                <w:szCs w:val="21"/>
              </w:rPr>
              <w:t>评价内容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eastAsiaTheme="minorEastAsi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cs="宋体" w:eastAsiaTheme="minorEastAsia"/>
                <w:b/>
                <w:bCs/>
                <w:color w:val="000000"/>
                <w:kern w:val="0"/>
                <w:szCs w:val="21"/>
              </w:rPr>
              <w:t>评价分值（分）</w:t>
            </w:r>
          </w:p>
        </w:tc>
        <w:tc>
          <w:tcPr>
            <w:tcW w:w="12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eastAsiaTheme="minorEastAsi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cs="宋体" w:eastAsiaTheme="minorEastAsia"/>
                <w:b/>
                <w:bCs/>
                <w:color w:val="000000"/>
                <w:kern w:val="0"/>
                <w:szCs w:val="21"/>
              </w:rPr>
              <w:t>自评得分（分）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70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Theme="minorEastAsia"/>
                <w:color w:val="000000"/>
                <w:kern w:val="0"/>
                <w:szCs w:val="21"/>
              </w:rPr>
            </w:pPr>
            <w:r>
              <w:rPr>
                <w:rFonts w:eastAsiaTheme="minor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51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eastAsiaTheme="min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eastAsiaTheme="minorEastAsia"/>
                <w:color w:val="000000"/>
                <w:kern w:val="0"/>
                <w:sz w:val="22"/>
                <w:szCs w:val="22"/>
              </w:rPr>
              <w:t>噪声级达到现行国家标准《民用建筑隔声设计规范》GB 50118 中的低限标准限值和高要求标准限值的平均值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eastAsiaTheme="min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eastAsiaTheme="minorEastAsia"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1275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cs="宋体" w:eastAsiaTheme="minorEastAsia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cs="宋体" w:eastAsiaTheme="minorEastAsia"/>
                <w:color w:val="000000"/>
                <w:kern w:val="0"/>
                <w:sz w:val="22"/>
                <w:szCs w:val="22"/>
                <w:lang w:val="en-US" w:eastAsia="zh-CN"/>
              </w:rPr>
              <w:t>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Theme="minorEastAsia"/>
                <w:color w:val="000000"/>
                <w:kern w:val="0"/>
                <w:szCs w:val="21"/>
              </w:rPr>
            </w:pPr>
          </w:p>
        </w:tc>
        <w:tc>
          <w:tcPr>
            <w:tcW w:w="51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eastAsiaTheme="min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eastAsiaTheme="minorEastAsia"/>
                <w:color w:val="000000"/>
                <w:kern w:val="0"/>
                <w:sz w:val="22"/>
                <w:szCs w:val="22"/>
              </w:rPr>
              <w:t>达到高要求标准限值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eastAsiaTheme="min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eastAsiaTheme="minorEastAsia"/>
                <w:color w:val="000000"/>
                <w:kern w:val="0"/>
                <w:sz w:val="22"/>
                <w:szCs w:val="22"/>
              </w:rPr>
              <w:t>8</w:t>
            </w:r>
          </w:p>
        </w:tc>
        <w:tc>
          <w:tcPr>
            <w:tcW w:w="127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cs="宋体" w:eastAsiaTheme="minorEastAsia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8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eastAsia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eastAsiaTheme="minorEastAsia"/>
                <w:color w:val="000000"/>
                <w:kern w:val="0"/>
                <w:szCs w:val="21"/>
              </w:rPr>
              <w:t>合计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eastAsiaTheme="min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eastAsiaTheme="minorEastAsia"/>
                <w:color w:val="000000"/>
                <w:kern w:val="0"/>
                <w:sz w:val="22"/>
                <w:szCs w:val="22"/>
              </w:rPr>
              <w:t>8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cs="宋体" w:eastAsiaTheme="minorEastAsia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cs="宋体" w:eastAsiaTheme="minorEastAsia"/>
                <w:color w:val="000000"/>
                <w:kern w:val="0"/>
                <w:sz w:val="22"/>
                <w:szCs w:val="22"/>
              </w:rPr>
              <w:t>　</w:t>
            </w:r>
            <w:r>
              <w:rPr>
                <w:rFonts w:hint="eastAsia" w:cs="宋体" w:eastAsiaTheme="minorEastAsia"/>
                <w:color w:val="000000"/>
                <w:kern w:val="0"/>
                <w:sz w:val="22"/>
                <w:szCs w:val="22"/>
                <w:lang w:val="en-US" w:eastAsia="zh-CN"/>
              </w:rPr>
              <w:t>4</w:t>
            </w:r>
          </w:p>
        </w:tc>
      </w:tr>
    </w:tbl>
    <w:p>
      <w:pPr>
        <w:pStyle w:val="16"/>
        <w:numPr>
          <w:ilvl w:val="0"/>
          <w:numId w:val="1"/>
        </w:numPr>
        <w:spacing w:before="200" w:line="288" w:lineRule="auto"/>
        <w:ind w:left="374" w:hanging="374" w:firstLineChars="0"/>
        <w:jc w:val="left"/>
        <w:rPr>
          <w:rFonts w:eastAsiaTheme="minorEastAsia"/>
          <w:b/>
          <w:sz w:val="24"/>
        </w:rPr>
      </w:pPr>
      <w:r>
        <w:rPr>
          <w:rFonts w:hint="eastAsia" w:eastAsiaTheme="minorEastAsia"/>
          <w:b/>
          <w:sz w:val="24"/>
        </w:rPr>
        <w:t>评价要点</w:t>
      </w:r>
    </w:p>
    <w:p>
      <w:pPr>
        <w:pStyle w:val="17"/>
        <w:numPr>
          <w:ilvl w:val="0"/>
          <w:numId w:val="2"/>
        </w:numPr>
        <w:spacing w:before="93" w:beforeLines="30" w:after="93" w:afterLines="30" w:line="288" w:lineRule="auto"/>
        <w:ind w:left="632" w:leftChars="100" w:hanging="422" w:hangingChars="200"/>
        <w:rPr>
          <w:rFonts w:eastAsiaTheme="minorEastAsia"/>
          <w:b/>
          <w:lang w:val="zh-CN"/>
        </w:rPr>
      </w:pPr>
      <w:r>
        <w:rPr>
          <w:rFonts w:hint="eastAsia" w:eastAsiaTheme="minorEastAsia"/>
          <w:b/>
          <w:lang w:val="zh-CN"/>
        </w:rPr>
        <w:t>室内噪声级：</w:t>
      </w:r>
    </w:p>
    <w:p>
      <w:pPr>
        <w:spacing w:before="93" w:beforeLines="30" w:after="93" w:afterLines="30" w:line="288" w:lineRule="auto"/>
        <w:rPr>
          <w:rFonts w:eastAsiaTheme="minorEastAsia"/>
          <w:szCs w:val="21"/>
          <w:lang w:val="zh-CN"/>
        </w:rPr>
      </w:pPr>
      <w:r>
        <w:rPr>
          <w:rFonts w:hint="eastAsia" w:eastAsiaTheme="minorEastAsia"/>
          <w:szCs w:val="21"/>
          <w:lang w:val="zh-CN"/>
        </w:rPr>
        <w:t>简要说明建筑室内、外噪声源及其传播途径、采用的降噪措施。（</w:t>
      </w:r>
      <w:r>
        <w:rPr>
          <w:rFonts w:eastAsiaTheme="minorEastAsia"/>
          <w:szCs w:val="21"/>
          <w:lang w:val="zh-CN"/>
        </w:rPr>
        <w:t>200</w:t>
      </w:r>
      <w:r>
        <w:rPr>
          <w:rFonts w:hint="eastAsia" w:eastAsiaTheme="minorEastAsia"/>
          <w:szCs w:val="21"/>
          <w:lang w:val="zh-CN"/>
        </w:rPr>
        <w:t>字以内）</w:t>
      </w:r>
    </w:p>
    <w:tbl>
      <w:tblPr>
        <w:tblStyle w:val="7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atLeast"/>
          <w:jc w:val="center"/>
        </w:trPr>
        <w:tc>
          <w:tcPr>
            <w:tcW w:w="8522" w:type="dxa"/>
          </w:tcPr>
          <w:p>
            <w:pPr>
              <w:spacing w:line="288" w:lineRule="auto"/>
              <w:ind w:firstLine="420" w:firstLineChars="200"/>
              <w:rPr>
                <w:rFonts w:eastAsiaTheme="minorEastAsia"/>
                <w:szCs w:val="21"/>
              </w:rPr>
            </w:pPr>
            <w:r>
              <w:rPr>
                <w:rFonts w:hint="eastAsia" w:eastAsiaTheme="minorEastAsia"/>
                <w:szCs w:val="21"/>
              </w:rPr>
              <w:t>本项目主要噪声室内噪声来源：为室内空调设备、卫生器具、管道等，可通过给设备添加减震措施避免噪声传播。</w:t>
            </w:r>
          </w:p>
          <w:p>
            <w:pPr>
              <w:spacing w:line="288" w:lineRule="auto"/>
              <w:ind w:firstLine="420" w:firstLineChars="200"/>
              <w:rPr>
                <w:rFonts w:eastAsiaTheme="minorEastAsia"/>
                <w:szCs w:val="21"/>
              </w:rPr>
            </w:pPr>
            <w:r>
              <w:rPr>
                <w:rFonts w:hint="eastAsia" w:eastAsiaTheme="minorEastAsia"/>
                <w:szCs w:val="21"/>
              </w:rPr>
              <w:t xml:space="preserve"> 室外噪声源主要为公路的交通噪声。室内噪声源主要为生活噪声。传播途径：空气传播、楼板共振。降噪措施：经过距离和绿化、围护结构衰减，达到规范要求。</w:t>
            </w:r>
          </w:p>
          <w:p>
            <w:pPr>
              <w:spacing w:line="288" w:lineRule="auto"/>
              <w:ind w:firstLine="420" w:firstLineChars="200"/>
              <w:rPr>
                <w:rFonts w:eastAsiaTheme="minorEastAsia"/>
                <w:szCs w:val="21"/>
              </w:rPr>
            </w:pPr>
            <w:r>
              <w:rPr>
                <w:rFonts w:hint="eastAsia" w:eastAsiaTheme="minorEastAsia"/>
                <w:szCs w:val="21"/>
              </w:rPr>
              <w:t>围护结构降噪措施：内墙为</w:t>
            </w:r>
            <w:r>
              <w:rPr>
                <w:rFonts w:hint="eastAsia" w:eastAsiaTheme="minorEastAsia"/>
                <w:szCs w:val="21"/>
                <w:lang w:val="en-US" w:eastAsia="zh-CN"/>
              </w:rPr>
              <w:t>150</w:t>
            </w:r>
            <w:r>
              <w:rPr>
                <w:rFonts w:hint="eastAsia" w:eastAsiaTheme="minorEastAsia"/>
                <w:szCs w:val="21"/>
              </w:rPr>
              <w:t>厚</w:t>
            </w:r>
            <w:r>
              <w:rPr>
                <w:rFonts w:hint="eastAsia" w:eastAsiaTheme="minorEastAsia"/>
                <w:szCs w:val="21"/>
                <w:lang w:val="en-US" w:eastAsia="zh-CN"/>
              </w:rPr>
              <w:t>ALC混凝土板</w:t>
            </w:r>
            <w:r>
              <w:rPr>
                <w:rFonts w:hint="eastAsia" w:eastAsiaTheme="minorEastAsia"/>
                <w:szCs w:val="21"/>
              </w:rPr>
              <w:t>。楼板为100厚钢筋混凝土板、面层。室外噪声的降噪措施主要依靠外墙和外门窗的隔断。外墙采用200厚</w:t>
            </w:r>
            <w:r>
              <w:rPr>
                <w:rFonts w:hint="eastAsia" w:eastAsiaTheme="minorEastAsia"/>
                <w:szCs w:val="21"/>
                <w:lang w:val="en-US" w:eastAsia="zh-CN"/>
              </w:rPr>
              <w:t>ALC混凝土板</w:t>
            </w:r>
            <w:r>
              <w:rPr>
                <w:rFonts w:hint="eastAsia" w:eastAsiaTheme="minorEastAsia"/>
                <w:szCs w:val="21"/>
              </w:rPr>
              <w:t>，外门窗为断桥铝框，玻璃采用65系列断桥铝合金窗（5Low-E+12A+5），很好的阻断室外噪声的传播。车辆进出禁止鸣笛、减速慢行。</w:t>
            </w:r>
          </w:p>
        </w:tc>
      </w:tr>
    </w:tbl>
    <w:p>
      <w:pPr>
        <w:spacing w:before="100" w:after="93" w:afterLines="30" w:line="288" w:lineRule="auto"/>
        <w:rPr>
          <w:rFonts w:eastAsiaTheme="minorEastAsia"/>
          <w:szCs w:val="21"/>
          <w:lang w:val="zh-CN"/>
        </w:rPr>
      </w:pPr>
      <w:r>
        <w:rPr>
          <w:rFonts w:hint="eastAsia" w:eastAsiaTheme="minorEastAsia"/>
          <w:szCs w:val="21"/>
          <w:lang w:val="zh-CN"/>
        </w:rPr>
        <w:t>主要功能房间室内噪声级列表：</w:t>
      </w:r>
    </w:p>
    <w:tbl>
      <w:tblPr>
        <w:tblStyle w:val="7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40"/>
        <w:gridCol w:w="2756"/>
        <w:gridCol w:w="342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  <w:jc w:val="center"/>
        </w:trPr>
        <w:tc>
          <w:tcPr>
            <w:tcW w:w="2340" w:type="dxa"/>
            <w:vMerge w:val="restart"/>
            <w:vAlign w:val="center"/>
          </w:tcPr>
          <w:p>
            <w:pPr>
              <w:pStyle w:val="15"/>
              <w:spacing w:line="288" w:lineRule="auto"/>
              <w:jc w:val="center"/>
              <w:outlineLvl w:val="9"/>
              <w:rPr>
                <w:rFonts w:eastAsiaTheme="minorEastAsia"/>
                <w:b/>
                <w:bCs/>
                <w:szCs w:val="21"/>
              </w:rPr>
            </w:pPr>
            <w:r>
              <w:rPr>
                <w:rFonts w:hint="eastAsia" w:eastAsiaTheme="minorEastAsia"/>
                <w:b/>
                <w:bCs/>
                <w:sz w:val="21"/>
                <w:szCs w:val="21"/>
              </w:rPr>
              <w:t>主要功能房间名称</w:t>
            </w:r>
          </w:p>
        </w:tc>
        <w:tc>
          <w:tcPr>
            <w:tcW w:w="2756" w:type="dxa"/>
            <w:vMerge w:val="restart"/>
            <w:vAlign w:val="center"/>
          </w:tcPr>
          <w:p>
            <w:pPr>
              <w:pStyle w:val="15"/>
              <w:spacing w:line="288" w:lineRule="auto"/>
              <w:jc w:val="center"/>
              <w:outlineLvl w:val="9"/>
              <w:rPr>
                <w:rFonts w:eastAsiaTheme="minorEastAsia"/>
                <w:b/>
                <w:bCs/>
                <w:szCs w:val="21"/>
              </w:rPr>
            </w:pPr>
            <w:r>
              <w:rPr>
                <w:rFonts w:hint="eastAsia" w:eastAsiaTheme="minorEastAsia"/>
                <w:b/>
                <w:bCs/>
                <w:sz w:val="21"/>
                <w:szCs w:val="21"/>
              </w:rPr>
              <w:t>室内噪声级（</w:t>
            </w:r>
            <w:r>
              <w:rPr>
                <w:rFonts w:eastAsiaTheme="minorEastAsia"/>
                <w:b/>
                <w:bCs/>
                <w:sz w:val="21"/>
                <w:szCs w:val="21"/>
              </w:rPr>
              <w:t>dB(A)</w:t>
            </w:r>
            <w:r>
              <w:rPr>
                <w:rFonts w:hint="eastAsia" w:eastAsiaTheme="minorEastAsia"/>
                <w:b/>
                <w:bCs/>
                <w:sz w:val="21"/>
                <w:szCs w:val="21"/>
              </w:rPr>
              <w:t>）</w:t>
            </w:r>
          </w:p>
        </w:tc>
        <w:tc>
          <w:tcPr>
            <w:tcW w:w="3426" w:type="dxa"/>
            <w:vAlign w:val="center"/>
          </w:tcPr>
          <w:p>
            <w:pPr>
              <w:pStyle w:val="15"/>
              <w:spacing w:line="288" w:lineRule="auto"/>
              <w:jc w:val="center"/>
              <w:outlineLvl w:val="9"/>
              <w:rPr>
                <w:rFonts w:eastAsiaTheme="minorEastAsia"/>
                <w:b/>
                <w:bCs/>
                <w:szCs w:val="21"/>
              </w:rPr>
            </w:pPr>
            <w:r>
              <w:rPr>
                <w:rFonts w:hint="eastAsia" w:eastAsiaTheme="minorEastAsia"/>
                <w:b/>
                <w:bCs/>
                <w:sz w:val="21"/>
                <w:szCs w:val="21"/>
              </w:rPr>
              <w:t>允许噪声级（</w:t>
            </w:r>
            <w:r>
              <w:rPr>
                <w:rFonts w:eastAsiaTheme="minorEastAsia"/>
                <w:b/>
                <w:bCs/>
                <w:sz w:val="21"/>
                <w:szCs w:val="21"/>
              </w:rPr>
              <w:t>A</w:t>
            </w:r>
            <w:r>
              <w:rPr>
                <w:rFonts w:hint="eastAsia" w:eastAsiaTheme="minorEastAsia"/>
                <w:b/>
                <w:bCs/>
                <w:sz w:val="21"/>
                <w:szCs w:val="21"/>
              </w:rPr>
              <w:t>声级，</w:t>
            </w:r>
            <w:r>
              <w:rPr>
                <w:rFonts w:eastAsiaTheme="minorEastAsia"/>
                <w:b/>
                <w:bCs/>
                <w:sz w:val="21"/>
                <w:szCs w:val="21"/>
              </w:rPr>
              <w:t>dB</w:t>
            </w:r>
            <w:r>
              <w:rPr>
                <w:rFonts w:hint="eastAsia" w:eastAsiaTheme="minorEastAsia"/>
                <w:b/>
                <w:bCs/>
                <w:sz w:val="21"/>
                <w:szCs w:val="21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  <w:jc w:val="center"/>
        </w:trPr>
        <w:tc>
          <w:tcPr>
            <w:tcW w:w="2340" w:type="dxa"/>
            <w:vMerge w:val="continue"/>
            <w:vAlign w:val="center"/>
          </w:tcPr>
          <w:p>
            <w:pPr>
              <w:pStyle w:val="15"/>
              <w:spacing w:line="288" w:lineRule="auto"/>
              <w:jc w:val="center"/>
              <w:outlineLvl w:val="9"/>
              <w:rPr>
                <w:rFonts w:eastAsiaTheme="minorEastAsia"/>
                <w:b/>
                <w:bCs/>
                <w:szCs w:val="21"/>
              </w:rPr>
            </w:pPr>
          </w:p>
        </w:tc>
        <w:tc>
          <w:tcPr>
            <w:tcW w:w="2756" w:type="dxa"/>
            <w:vMerge w:val="continue"/>
            <w:vAlign w:val="center"/>
          </w:tcPr>
          <w:p>
            <w:pPr>
              <w:pStyle w:val="15"/>
              <w:spacing w:line="288" w:lineRule="auto"/>
              <w:jc w:val="center"/>
              <w:outlineLvl w:val="9"/>
              <w:rPr>
                <w:rFonts w:eastAsiaTheme="minorEastAsia"/>
                <w:b/>
                <w:bCs/>
                <w:szCs w:val="21"/>
              </w:rPr>
            </w:pPr>
          </w:p>
        </w:tc>
        <w:tc>
          <w:tcPr>
            <w:tcW w:w="3426" w:type="dxa"/>
            <w:vAlign w:val="center"/>
          </w:tcPr>
          <w:p>
            <w:pPr>
              <w:pStyle w:val="15"/>
              <w:spacing w:line="288" w:lineRule="auto"/>
              <w:jc w:val="center"/>
              <w:outlineLvl w:val="9"/>
              <w:rPr>
                <w:rFonts w:eastAsiaTheme="minorEastAsia"/>
                <w:b/>
                <w:bCs/>
                <w:szCs w:val="21"/>
              </w:rPr>
            </w:pPr>
            <w:r>
              <w:rPr>
                <w:rFonts w:hint="eastAsia" w:eastAsiaTheme="minorEastAsia"/>
                <w:b/>
                <w:bCs/>
                <w:sz w:val="21"/>
                <w:szCs w:val="21"/>
              </w:rPr>
              <w:t>低限要求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340" w:type="dxa"/>
            <w:vAlign w:val="center"/>
          </w:tcPr>
          <w:p>
            <w:pPr>
              <w:pStyle w:val="15"/>
              <w:spacing w:line="288" w:lineRule="auto"/>
              <w:jc w:val="center"/>
              <w:outlineLvl w:val="9"/>
              <w:rPr>
                <w:rFonts w:eastAsiaTheme="minorEastAsia"/>
                <w:bCs/>
                <w:iCs/>
                <w:sz w:val="21"/>
                <w:szCs w:val="21"/>
              </w:rPr>
            </w:pPr>
          </w:p>
        </w:tc>
        <w:tc>
          <w:tcPr>
            <w:tcW w:w="2756" w:type="dxa"/>
            <w:vAlign w:val="center"/>
          </w:tcPr>
          <w:p>
            <w:pPr>
              <w:pStyle w:val="15"/>
              <w:spacing w:line="288" w:lineRule="auto"/>
              <w:jc w:val="center"/>
              <w:outlineLvl w:val="9"/>
              <w:rPr>
                <w:rFonts w:eastAsiaTheme="minorEastAsia"/>
                <w:bCs/>
                <w:iCs/>
                <w:sz w:val="21"/>
                <w:szCs w:val="21"/>
              </w:rPr>
            </w:pPr>
          </w:p>
        </w:tc>
        <w:tc>
          <w:tcPr>
            <w:tcW w:w="3426" w:type="dxa"/>
            <w:vAlign w:val="center"/>
          </w:tcPr>
          <w:p>
            <w:pPr>
              <w:pStyle w:val="15"/>
              <w:spacing w:line="288" w:lineRule="auto"/>
              <w:jc w:val="center"/>
              <w:outlineLvl w:val="9"/>
              <w:rPr>
                <w:rFonts w:eastAsiaTheme="minorEastAsia"/>
                <w:bCs/>
                <w:i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340" w:type="dxa"/>
            <w:vAlign w:val="center"/>
          </w:tcPr>
          <w:p>
            <w:pPr>
              <w:pStyle w:val="15"/>
              <w:spacing w:line="288" w:lineRule="auto"/>
              <w:jc w:val="center"/>
              <w:outlineLvl w:val="9"/>
              <w:rPr>
                <w:rFonts w:eastAsiaTheme="minorEastAsia"/>
                <w:bCs/>
                <w:iCs/>
                <w:sz w:val="21"/>
                <w:szCs w:val="21"/>
              </w:rPr>
            </w:pPr>
          </w:p>
        </w:tc>
        <w:tc>
          <w:tcPr>
            <w:tcW w:w="2756" w:type="dxa"/>
            <w:vAlign w:val="center"/>
          </w:tcPr>
          <w:p>
            <w:pPr>
              <w:pStyle w:val="15"/>
              <w:spacing w:line="288" w:lineRule="auto"/>
              <w:jc w:val="center"/>
              <w:outlineLvl w:val="9"/>
              <w:rPr>
                <w:rFonts w:eastAsiaTheme="minorEastAsia"/>
                <w:bCs/>
                <w:iCs/>
                <w:sz w:val="21"/>
                <w:szCs w:val="21"/>
              </w:rPr>
            </w:pPr>
          </w:p>
        </w:tc>
        <w:tc>
          <w:tcPr>
            <w:tcW w:w="3426" w:type="dxa"/>
            <w:vAlign w:val="center"/>
          </w:tcPr>
          <w:p>
            <w:pPr>
              <w:pStyle w:val="15"/>
              <w:spacing w:line="288" w:lineRule="auto"/>
              <w:jc w:val="center"/>
              <w:outlineLvl w:val="9"/>
              <w:rPr>
                <w:rFonts w:eastAsiaTheme="minorEastAsia"/>
                <w:bCs/>
                <w:i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340" w:type="dxa"/>
            <w:vAlign w:val="center"/>
          </w:tcPr>
          <w:p>
            <w:pPr>
              <w:pStyle w:val="15"/>
              <w:spacing w:line="288" w:lineRule="auto"/>
              <w:jc w:val="center"/>
              <w:outlineLvl w:val="9"/>
              <w:rPr>
                <w:rFonts w:eastAsiaTheme="minorEastAsia"/>
                <w:bCs/>
                <w:iCs/>
                <w:sz w:val="21"/>
                <w:szCs w:val="21"/>
              </w:rPr>
            </w:pPr>
          </w:p>
        </w:tc>
        <w:tc>
          <w:tcPr>
            <w:tcW w:w="2756" w:type="dxa"/>
            <w:vAlign w:val="center"/>
          </w:tcPr>
          <w:p>
            <w:pPr>
              <w:pStyle w:val="15"/>
              <w:spacing w:line="288" w:lineRule="auto"/>
              <w:jc w:val="center"/>
              <w:outlineLvl w:val="9"/>
              <w:rPr>
                <w:rFonts w:eastAsiaTheme="minorEastAsia"/>
                <w:bCs/>
                <w:iCs/>
                <w:sz w:val="21"/>
                <w:szCs w:val="21"/>
              </w:rPr>
            </w:pPr>
          </w:p>
        </w:tc>
        <w:tc>
          <w:tcPr>
            <w:tcW w:w="3426" w:type="dxa"/>
            <w:vAlign w:val="center"/>
          </w:tcPr>
          <w:p>
            <w:pPr>
              <w:pStyle w:val="15"/>
              <w:spacing w:line="288" w:lineRule="auto"/>
              <w:jc w:val="center"/>
              <w:outlineLvl w:val="9"/>
              <w:rPr>
                <w:rFonts w:eastAsiaTheme="minorEastAsia"/>
                <w:bCs/>
                <w:i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340" w:type="dxa"/>
            <w:vAlign w:val="center"/>
          </w:tcPr>
          <w:p>
            <w:pPr>
              <w:pStyle w:val="15"/>
              <w:spacing w:line="288" w:lineRule="auto"/>
              <w:jc w:val="center"/>
              <w:outlineLvl w:val="9"/>
              <w:rPr>
                <w:rFonts w:eastAsiaTheme="minorEastAsia"/>
                <w:bCs/>
                <w:iCs/>
                <w:sz w:val="21"/>
                <w:szCs w:val="21"/>
              </w:rPr>
            </w:pPr>
          </w:p>
        </w:tc>
        <w:tc>
          <w:tcPr>
            <w:tcW w:w="2756" w:type="dxa"/>
            <w:vAlign w:val="center"/>
          </w:tcPr>
          <w:p>
            <w:pPr>
              <w:pStyle w:val="15"/>
              <w:spacing w:line="288" w:lineRule="auto"/>
              <w:jc w:val="center"/>
              <w:outlineLvl w:val="9"/>
              <w:rPr>
                <w:rFonts w:eastAsiaTheme="minorEastAsia"/>
                <w:bCs/>
                <w:iCs/>
                <w:sz w:val="21"/>
                <w:szCs w:val="21"/>
              </w:rPr>
            </w:pPr>
          </w:p>
        </w:tc>
        <w:tc>
          <w:tcPr>
            <w:tcW w:w="3426" w:type="dxa"/>
            <w:vAlign w:val="center"/>
          </w:tcPr>
          <w:p>
            <w:pPr>
              <w:pStyle w:val="15"/>
              <w:spacing w:line="288" w:lineRule="auto"/>
              <w:jc w:val="center"/>
              <w:outlineLvl w:val="9"/>
              <w:rPr>
                <w:rFonts w:eastAsiaTheme="minorEastAsia"/>
                <w:bCs/>
                <w:i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340" w:type="dxa"/>
            <w:vAlign w:val="center"/>
          </w:tcPr>
          <w:p>
            <w:pPr>
              <w:pStyle w:val="15"/>
              <w:spacing w:line="288" w:lineRule="auto"/>
              <w:jc w:val="center"/>
              <w:outlineLvl w:val="9"/>
              <w:rPr>
                <w:rFonts w:eastAsiaTheme="minorEastAsia"/>
                <w:bCs/>
                <w:iCs/>
                <w:sz w:val="21"/>
                <w:szCs w:val="21"/>
              </w:rPr>
            </w:pPr>
          </w:p>
        </w:tc>
        <w:tc>
          <w:tcPr>
            <w:tcW w:w="2756" w:type="dxa"/>
            <w:vAlign w:val="center"/>
          </w:tcPr>
          <w:p>
            <w:pPr>
              <w:pStyle w:val="15"/>
              <w:spacing w:line="288" w:lineRule="auto"/>
              <w:jc w:val="center"/>
              <w:outlineLvl w:val="9"/>
              <w:rPr>
                <w:rFonts w:eastAsiaTheme="minorEastAsia"/>
                <w:bCs/>
                <w:iCs/>
                <w:sz w:val="21"/>
                <w:szCs w:val="21"/>
              </w:rPr>
            </w:pPr>
          </w:p>
        </w:tc>
        <w:tc>
          <w:tcPr>
            <w:tcW w:w="3426" w:type="dxa"/>
            <w:vAlign w:val="center"/>
          </w:tcPr>
          <w:p>
            <w:pPr>
              <w:pStyle w:val="15"/>
              <w:spacing w:line="288" w:lineRule="auto"/>
              <w:jc w:val="center"/>
              <w:outlineLvl w:val="9"/>
              <w:rPr>
                <w:rFonts w:eastAsiaTheme="minorEastAsia"/>
                <w:bCs/>
                <w:iCs/>
                <w:sz w:val="21"/>
                <w:szCs w:val="21"/>
              </w:rPr>
            </w:pPr>
          </w:p>
        </w:tc>
      </w:tr>
    </w:tbl>
    <w:p>
      <w:pPr>
        <w:pStyle w:val="16"/>
        <w:numPr>
          <w:ilvl w:val="0"/>
          <w:numId w:val="1"/>
        </w:numPr>
        <w:spacing w:before="200" w:line="288" w:lineRule="auto"/>
        <w:ind w:left="374" w:hanging="374" w:firstLineChars="0"/>
        <w:jc w:val="left"/>
        <w:rPr>
          <w:rFonts w:eastAsiaTheme="minorEastAsia"/>
          <w:b/>
        </w:rPr>
      </w:pPr>
      <w:r>
        <w:rPr>
          <w:rFonts w:hint="eastAsia" w:eastAsiaTheme="minorEastAsia"/>
          <w:b/>
        </w:rPr>
        <w:t>证明材料：</w:t>
      </w:r>
    </w:p>
    <w:p>
      <w:pPr>
        <w:pStyle w:val="17"/>
        <w:spacing w:before="156" w:beforeLines="50" w:after="156" w:afterLines="50" w:line="288" w:lineRule="auto"/>
        <w:ind w:left="375" w:firstLine="0" w:firstLineChars="0"/>
        <w:rPr>
          <w:rFonts w:eastAsiaTheme="minorEastAsia"/>
          <w:b/>
        </w:rPr>
      </w:pPr>
      <w:r>
        <w:rPr>
          <w:rFonts w:hint="eastAsia" w:eastAsiaTheme="minorEastAsia"/>
          <w:b/>
        </w:rPr>
        <w:t>建议提交材料及技术要求：</w:t>
      </w:r>
    </w:p>
    <w:tbl>
      <w:tblPr>
        <w:tblStyle w:val="7"/>
        <w:tblW w:w="8647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1"/>
        <w:gridCol w:w="1767"/>
        <w:gridCol w:w="4151"/>
        <w:gridCol w:w="1185"/>
        <w:gridCol w:w="843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tblHeader/>
          <w:jc w:val="center"/>
        </w:trPr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DBE5F1"/>
            <w:vAlign w:val="center"/>
          </w:tcPr>
          <w:p>
            <w:pPr>
              <w:widowControl/>
              <w:jc w:val="center"/>
              <w:rPr>
                <w:rFonts w:cs="宋体" w:eastAsiaTheme="minorEastAsia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eastAsiaTheme="minorEastAsia"/>
                <w:b/>
                <w:bCs/>
                <w:color w:val="000000"/>
                <w:kern w:val="0"/>
                <w:sz w:val="22"/>
                <w:szCs w:val="22"/>
              </w:rPr>
              <w:t>专业分类</w:t>
            </w:r>
          </w:p>
        </w:tc>
        <w:tc>
          <w:tcPr>
            <w:tcW w:w="17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DBE5F1"/>
            <w:vAlign w:val="center"/>
          </w:tcPr>
          <w:p>
            <w:pPr>
              <w:widowControl/>
              <w:jc w:val="center"/>
              <w:rPr>
                <w:rFonts w:cs="宋体" w:eastAsiaTheme="minorEastAsia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eastAsiaTheme="minorEastAsia"/>
                <w:b/>
                <w:bCs/>
                <w:color w:val="000000"/>
                <w:kern w:val="0"/>
                <w:sz w:val="22"/>
                <w:szCs w:val="22"/>
              </w:rPr>
              <w:t>材料名称</w:t>
            </w:r>
          </w:p>
        </w:tc>
        <w:tc>
          <w:tcPr>
            <w:tcW w:w="41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DBE5F1"/>
            <w:vAlign w:val="center"/>
          </w:tcPr>
          <w:p>
            <w:pPr>
              <w:widowControl/>
              <w:jc w:val="center"/>
              <w:rPr>
                <w:rFonts w:cs="宋体" w:eastAsiaTheme="minorEastAsia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eastAsiaTheme="minorEastAsia"/>
                <w:b/>
                <w:bCs/>
                <w:color w:val="000000"/>
                <w:kern w:val="0"/>
                <w:sz w:val="22"/>
                <w:szCs w:val="22"/>
              </w:rPr>
              <w:t>技术要求</w:t>
            </w:r>
          </w:p>
        </w:tc>
        <w:tc>
          <w:tcPr>
            <w:tcW w:w="11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DBE5F1"/>
            <w:vAlign w:val="center"/>
          </w:tcPr>
          <w:p>
            <w:pPr>
              <w:widowControl/>
              <w:jc w:val="center"/>
              <w:rPr>
                <w:rFonts w:cs="宋体" w:eastAsiaTheme="minorEastAsia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eastAsiaTheme="minorEastAsia"/>
                <w:b/>
                <w:bCs/>
                <w:color w:val="000000"/>
                <w:kern w:val="0"/>
                <w:sz w:val="22"/>
                <w:szCs w:val="22"/>
              </w:rPr>
              <w:t>评价阶段</w:t>
            </w:r>
          </w:p>
        </w:tc>
        <w:tc>
          <w:tcPr>
            <w:tcW w:w="8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DBE5F1"/>
            <w:vAlign w:val="center"/>
          </w:tcPr>
          <w:p>
            <w:pPr>
              <w:widowControl/>
              <w:jc w:val="center"/>
              <w:rPr>
                <w:rFonts w:cs="宋体" w:eastAsiaTheme="minorEastAsia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eastAsiaTheme="minorEastAsia"/>
                <w:b/>
                <w:bCs/>
                <w:color w:val="000000"/>
                <w:kern w:val="0"/>
                <w:sz w:val="22"/>
                <w:szCs w:val="22"/>
              </w:rPr>
              <w:t>建筑类型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eastAsiaTheme="minorEastAsia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eastAsiaTheme="minorEastAsia"/>
                <w:b/>
                <w:bCs/>
                <w:color w:val="000000"/>
                <w:kern w:val="0"/>
                <w:sz w:val="22"/>
                <w:szCs w:val="22"/>
              </w:rPr>
              <w:t>建筑设计</w:t>
            </w:r>
          </w:p>
        </w:tc>
        <w:tc>
          <w:tcPr>
            <w:tcW w:w="17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eastAsiaTheme="minorEastAsia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eastAsiaTheme="minorEastAsia"/>
                <w:b/>
                <w:bCs/>
                <w:color w:val="000000"/>
                <w:kern w:val="0"/>
                <w:sz w:val="22"/>
                <w:szCs w:val="22"/>
              </w:rPr>
              <w:t>建筑设计平面图</w:t>
            </w:r>
          </w:p>
        </w:tc>
        <w:tc>
          <w:tcPr>
            <w:tcW w:w="41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eastAsia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eastAsiaTheme="minorEastAsia"/>
                <w:color w:val="000000"/>
                <w:kern w:val="0"/>
                <w:sz w:val="20"/>
                <w:szCs w:val="20"/>
              </w:rPr>
              <w:t>应体现场地内交通干道布置，建筑（群）与周边道路及其他噪声源的距离，噪声源与噪声敏感房间的布置</w:t>
            </w:r>
          </w:p>
        </w:tc>
        <w:tc>
          <w:tcPr>
            <w:tcW w:w="11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eastAsiaTheme="min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eastAsiaTheme="minorEastAsia"/>
                <w:color w:val="000000"/>
                <w:kern w:val="0"/>
                <w:sz w:val="22"/>
                <w:szCs w:val="22"/>
              </w:rPr>
              <w:t>预评价/</w:t>
            </w:r>
          </w:p>
          <w:p>
            <w:pPr>
              <w:widowControl/>
              <w:jc w:val="center"/>
              <w:rPr>
                <w:rFonts w:cs="宋体" w:eastAsiaTheme="min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eastAsiaTheme="minorEastAsia"/>
                <w:color w:val="000000"/>
                <w:kern w:val="0"/>
                <w:sz w:val="22"/>
                <w:szCs w:val="22"/>
              </w:rPr>
              <w:t>评价</w:t>
            </w:r>
          </w:p>
        </w:tc>
        <w:tc>
          <w:tcPr>
            <w:tcW w:w="8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eastAsiaTheme="min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eastAsiaTheme="minorEastAsia"/>
                <w:color w:val="000000"/>
                <w:kern w:val="0"/>
                <w:sz w:val="22"/>
                <w:szCs w:val="22"/>
              </w:rPr>
              <w:t>居建/公建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  <w:jc w:val="center"/>
        </w:trPr>
        <w:tc>
          <w:tcPr>
            <w:tcW w:w="70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eastAsiaTheme="minorEastAsia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eastAsiaTheme="minorEastAsia"/>
                <w:b/>
                <w:bCs/>
                <w:color w:val="000000"/>
                <w:kern w:val="0"/>
                <w:sz w:val="22"/>
                <w:szCs w:val="22"/>
              </w:rPr>
              <w:t>其他材料</w:t>
            </w:r>
          </w:p>
        </w:tc>
        <w:tc>
          <w:tcPr>
            <w:tcW w:w="17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eastAsiaTheme="minorEastAsia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eastAsiaTheme="minorEastAsia"/>
                <w:b/>
                <w:bCs/>
                <w:color w:val="000000"/>
                <w:kern w:val="0"/>
                <w:sz w:val="22"/>
                <w:szCs w:val="22"/>
              </w:rPr>
              <w:t>声环境专项设计报告</w:t>
            </w:r>
          </w:p>
        </w:tc>
        <w:tc>
          <w:tcPr>
            <w:tcW w:w="41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eastAsia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eastAsiaTheme="minorEastAsia"/>
                <w:color w:val="000000"/>
                <w:kern w:val="0"/>
                <w:sz w:val="20"/>
                <w:szCs w:val="20"/>
              </w:rPr>
              <w:t>应重点审核基于环评报告室外噪声要求对室内的北京噪声影响（也包括室内噪声源影响）的分析报告以及在图纸上的落实情况</w:t>
            </w:r>
          </w:p>
        </w:tc>
        <w:tc>
          <w:tcPr>
            <w:tcW w:w="11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eastAsiaTheme="min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eastAsiaTheme="minorEastAsia"/>
                <w:color w:val="000000"/>
                <w:kern w:val="0"/>
                <w:sz w:val="22"/>
                <w:szCs w:val="22"/>
              </w:rPr>
              <w:t>预评价/</w:t>
            </w:r>
          </w:p>
          <w:p>
            <w:pPr>
              <w:widowControl/>
              <w:jc w:val="center"/>
              <w:rPr>
                <w:rFonts w:cs="宋体" w:eastAsiaTheme="min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eastAsiaTheme="minorEastAsia"/>
                <w:color w:val="000000"/>
                <w:kern w:val="0"/>
                <w:sz w:val="22"/>
                <w:szCs w:val="22"/>
              </w:rPr>
              <w:t>评价</w:t>
            </w:r>
          </w:p>
        </w:tc>
        <w:tc>
          <w:tcPr>
            <w:tcW w:w="8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eastAsiaTheme="min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eastAsiaTheme="minorEastAsia"/>
                <w:color w:val="000000"/>
                <w:kern w:val="0"/>
                <w:sz w:val="22"/>
                <w:szCs w:val="22"/>
              </w:rPr>
              <w:t>居建/公建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90" w:hRule="atLeast"/>
          <w:jc w:val="center"/>
        </w:trPr>
        <w:tc>
          <w:tcPr>
            <w:tcW w:w="70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cs="宋体" w:eastAsiaTheme="minorEastAsia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7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eastAsiaTheme="minorEastAsia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eastAsiaTheme="minorEastAsia"/>
                <w:b/>
                <w:bCs/>
                <w:color w:val="000000"/>
                <w:kern w:val="0"/>
                <w:sz w:val="22"/>
                <w:szCs w:val="22"/>
              </w:rPr>
              <w:t>室内噪声检测报告</w:t>
            </w:r>
          </w:p>
        </w:tc>
        <w:tc>
          <w:tcPr>
            <w:tcW w:w="41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eastAsia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eastAsiaTheme="minorEastAsia"/>
                <w:color w:val="000000"/>
                <w:kern w:val="0"/>
                <w:sz w:val="20"/>
                <w:szCs w:val="20"/>
              </w:rPr>
              <w:t>应包括建筑内部噪声源种类、噪声级大小、传播途径及降噪措施（如设备机房隔声减振设计）；噪声敏感房间室内噪声源种类、噪声级大小、传播途径及降噪措施（如空调系统消声设计）等内容，体现典型时间、主要功能房间的室内噪声检测值</w:t>
            </w:r>
          </w:p>
        </w:tc>
        <w:tc>
          <w:tcPr>
            <w:tcW w:w="11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eastAsiaTheme="min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eastAsiaTheme="minorEastAsia"/>
                <w:color w:val="000000"/>
                <w:kern w:val="0"/>
                <w:sz w:val="22"/>
                <w:szCs w:val="22"/>
              </w:rPr>
              <w:t>运行评价</w:t>
            </w:r>
          </w:p>
        </w:tc>
        <w:tc>
          <w:tcPr>
            <w:tcW w:w="8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eastAsiaTheme="min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eastAsiaTheme="minorEastAsia"/>
                <w:color w:val="000000"/>
                <w:kern w:val="0"/>
                <w:sz w:val="22"/>
                <w:szCs w:val="22"/>
              </w:rPr>
              <w:t>居建/公建</w:t>
            </w:r>
          </w:p>
        </w:tc>
      </w:tr>
    </w:tbl>
    <w:p>
      <w:pPr>
        <w:spacing w:before="200"/>
        <w:rPr>
          <w:b/>
          <w:szCs w:val="21"/>
        </w:rPr>
      </w:pPr>
      <w:r>
        <w:rPr>
          <w:b/>
          <w:szCs w:val="21"/>
        </w:rPr>
        <w:t>实际提交材料：</w:t>
      </w:r>
    </w:p>
    <w:tbl>
      <w:tblPr>
        <w:tblStyle w:val="18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634" w:hRule="atLeast"/>
          <w:jc w:val="center"/>
        </w:trPr>
        <w:tc>
          <w:tcPr>
            <w:tcW w:w="9356" w:type="dxa"/>
          </w:tcPr>
          <w:p>
            <w:pPr>
              <w:rPr>
                <w:rFonts w:hint="default" w:eastAsia="宋体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/>
                <w:kern w:val="0"/>
                <w:sz w:val="20"/>
                <w:szCs w:val="21"/>
                <w:lang w:val="en-US" w:eastAsia="zh-CN"/>
              </w:rPr>
              <w:t>建筑施工图、5#宿舍构隔声性能分析报告、5#宿舍室内噪声级</w:t>
            </w:r>
            <w:bookmarkStart w:id="0" w:name="_GoBack"/>
            <w:bookmarkEnd w:id="0"/>
            <w:r>
              <w:rPr>
                <w:rFonts w:hint="eastAsia"/>
                <w:kern w:val="0"/>
                <w:sz w:val="20"/>
                <w:szCs w:val="21"/>
                <w:lang w:val="en-US" w:eastAsia="zh-CN"/>
              </w:rPr>
              <w:t>报告书,</w:t>
            </w:r>
          </w:p>
        </w:tc>
      </w:tr>
    </w:tbl>
    <w:p>
      <w:pPr>
        <w:rPr>
          <w:szCs w:val="21"/>
        </w:rPr>
      </w:pPr>
    </w:p>
    <w:p>
      <w:pPr>
        <w:rPr>
          <w:rFonts w:eastAsiaTheme="minorEastAsia"/>
        </w:rPr>
      </w:pP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r>
      <w:tab/>
    </w: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C1915FC"/>
    <w:multiLevelType w:val="multilevel"/>
    <w:tmpl w:val="1C1915FC"/>
    <w:lvl w:ilvl="0" w:tentative="0">
      <w:start w:val="1"/>
      <w:numFmt w:val="bullet"/>
      <w:lvlText w:val=""/>
      <w:lvlJc w:val="left"/>
      <w:pPr>
        <w:ind w:left="420" w:hanging="420"/>
      </w:pPr>
      <w:rPr>
        <w:rFonts w:hint="default" w:ascii="Wingdings" w:hAnsi="Wingdings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668D08B0"/>
    <w:multiLevelType w:val="multilevel"/>
    <w:tmpl w:val="668D08B0"/>
    <w:lvl w:ilvl="0" w:tentative="0">
      <w:start w:val="1"/>
      <w:numFmt w:val="decimal"/>
      <w:lvlText w:val="%1、"/>
      <w:lvlJc w:val="left"/>
      <w:pPr>
        <w:ind w:left="375" w:hanging="375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5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TdjMTA0ZGU0NmEwZjU4YjgyNTUxYmNlOGIyMDk5ZjUifQ=="/>
  </w:docVars>
  <w:rsids>
    <w:rsidRoot w:val="009128F8"/>
    <w:rsid w:val="00034D5E"/>
    <w:rsid w:val="001A1DB5"/>
    <w:rsid w:val="001C7FDA"/>
    <w:rsid w:val="00200D2F"/>
    <w:rsid w:val="00445CEC"/>
    <w:rsid w:val="004B09FC"/>
    <w:rsid w:val="004B2B39"/>
    <w:rsid w:val="004D11FB"/>
    <w:rsid w:val="005969E9"/>
    <w:rsid w:val="006074DD"/>
    <w:rsid w:val="006E2A76"/>
    <w:rsid w:val="006F41E5"/>
    <w:rsid w:val="007978E7"/>
    <w:rsid w:val="008D13F9"/>
    <w:rsid w:val="00905B19"/>
    <w:rsid w:val="009128F8"/>
    <w:rsid w:val="00964EE4"/>
    <w:rsid w:val="00B55144"/>
    <w:rsid w:val="00B7231C"/>
    <w:rsid w:val="00C2798B"/>
    <w:rsid w:val="00C72C6F"/>
    <w:rsid w:val="00CE0C81"/>
    <w:rsid w:val="00DD5226"/>
    <w:rsid w:val="00F7236B"/>
    <w:rsid w:val="00FD74D2"/>
    <w:rsid w:val="165F3D40"/>
    <w:rsid w:val="5EE808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nhideWhenUsed="0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2"/>
    <w:basedOn w:val="1"/>
    <w:next w:val="1"/>
    <w:link w:val="11"/>
    <w:semiHidden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paragraph" w:styleId="4">
    <w:name w:val="heading 3"/>
    <w:basedOn w:val="3"/>
    <w:next w:val="1"/>
    <w:link w:val="10"/>
    <w:qFormat/>
    <w:uiPriority w:val="0"/>
    <w:pPr>
      <w:snapToGrid w:val="0"/>
      <w:spacing w:before="120" w:after="120" w:line="240" w:lineRule="auto"/>
      <w:jc w:val="left"/>
      <w:outlineLvl w:val="2"/>
    </w:pPr>
    <w:rPr>
      <w:rFonts w:ascii="黑体" w:hAnsi="黑体" w:eastAsia="黑体" w:cs="Times New Roman"/>
      <w:kern w:val="0"/>
      <w:sz w:val="24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qFormat/>
    <w:uiPriority w:val="10"/>
    <w:pPr>
      <w:spacing w:before="240" w:beforeLines="0" w:beforeAutospacing="0" w:after="60" w:afterLines="0" w:afterAutospacing="0"/>
      <w:jc w:val="center"/>
      <w:outlineLvl w:val="0"/>
    </w:pPr>
    <w:rPr>
      <w:rFonts w:ascii="Arial" w:hAnsi="Arial"/>
      <w:b/>
      <w:sz w:val="32"/>
    </w:rPr>
  </w:style>
  <w:style w:type="paragraph" w:styleId="5">
    <w:name w:val="footer"/>
    <w:basedOn w:val="1"/>
    <w:link w:val="13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2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0">
    <w:name w:val="标题 3 Char"/>
    <w:basedOn w:val="9"/>
    <w:link w:val="4"/>
    <w:uiPriority w:val="0"/>
    <w:rPr>
      <w:rFonts w:ascii="黑体" w:hAnsi="黑体" w:eastAsia="黑体" w:cs="Times New Roman"/>
      <w:b/>
      <w:bCs/>
      <w:kern w:val="0"/>
      <w:sz w:val="24"/>
      <w:szCs w:val="32"/>
    </w:rPr>
  </w:style>
  <w:style w:type="character" w:customStyle="1" w:styleId="11">
    <w:name w:val="标题 2 Char"/>
    <w:basedOn w:val="9"/>
    <w:link w:val="3"/>
    <w:semiHidden/>
    <w:uiPriority w:val="9"/>
    <w:rPr>
      <w:rFonts w:asciiTheme="majorHAnsi" w:hAnsiTheme="majorHAnsi" w:eastAsiaTheme="majorEastAsia" w:cstheme="majorBidi"/>
      <w:b/>
      <w:bCs/>
      <w:sz w:val="32"/>
      <w:szCs w:val="32"/>
    </w:rPr>
  </w:style>
  <w:style w:type="character" w:customStyle="1" w:styleId="12">
    <w:name w:val="页眉 Char"/>
    <w:basedOn w:val="9"/>
    <w:link w:val="6"/>
    <w:uiPriority w:val="99"/>
    <w:rPr>
      <w:sz w:val="18"/>
      <w:szCs w:val="18"/>
    </w:rPr>
  </w:style>
  <w:style w:type="character" w:customStyle="1" w:styleId="13">
    <w:name w:val="页脚 Char"/>
    <w:basedOn w:val="9"/>
    <w:link w:val="5"/>
    <w:uiPriority w:val="99"/>
    <w:rPr>
      <w:sz w:val="18"/>
      <w:szCs w:val="18"/>
    </w:rPr>
  </w:style>
  <w:style w:type="character" w:customStyle="1" w:styleId="14">
    <w:name w:val="条文 Char"/>
    <w:link w:val="15"/>
    <w:locked/>
    <w:uiPriority w:val="99"/>
    <w:rPr>
      <w:rFonts w:ascii="Times New Roman" w:hAnsi="Times New Roman" w:eastAsia="宋体" w:cs="Times New Roman"/>
      <w:sz w:val="24"/>
      <w:szCs w:val="24"/>
    </w:rPr>
  </w:style>
  <w:style w:type="paragraph" w:customStyle="1" w:styleId="15">
    <w:name w:val="条文"/>
    <w:basedOn w:val="1"/>
    <w:link w:val="14"/>
    <w:uiPriority w:val="99"/>
    <w:pPr>
      <w:spacing w:line="300" w:lineRule="auto"/>
      <w:outlineLvl w:val="2"/>
    </w:pPr>
    <w:rPr>
      <w:sz w:val="24"/>
    </w:rPr>
  </w:style>
  <w:style w:type="paragraph" w:customStyle="1" w:styleId="16">
    <w:name w:val="列出段落1"/>
    <w:basedOn w:val="1"/>
    <w:qFormat/>
    <w:uiPriority w:val="34"/>
    <w:pPr>
      <w:ind w:firstLine="420" w:firstLineChars="200"/>
    </w:pPr>
  </w:style>
  <w:style w:type="paragraph" w:styleId="17">
    <w:name w:val="List Paragraph"/>
    <w:basedOn w:val="1"/>
    <w:qFormat/>
    <w:uiPriority w:val="34"/>
    <w:pPr>
      <w:ind w:firstLine="420" w:firstLineChars="200"/>
    </w:pPr>
    <w:rPr>
      <w:szCs w:val="21"/>
    </w:rPr>
  </w:style>
  <w:style w:type="table" w:customStyle="1" w:styleId="18">
    <w:name w:val="网格型1"/>
    <w:basedOn w:val="7"/>
    <w:uiPriority w:val="5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779</Words>
  <Characters>818</Characters>
  <Lines>6</Lines>
  <Paragraphs>1</Paragraphs>
  <TotalTime>1</TotalTime>
  <ScaleCrop>false</ScaleCrop>
  <LinksUpToDate>false</LinksUpToDate>
  <CharactersWithSpaces>822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2020-06-04T02:09:00Z</dcterms:created>
  <dc:creator>dongYP</dc:creator>
  <cp:lastModifiedBy>BYX</cp:lastModifiedBy>
  <dcterms:modified xsi:type="dcterms:W3CDTF">2023-11-24T12:08:08Z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C03C169C6C1D41DA9F68D43413E2A4B1_12</vt:lpwstr>
  </property>
</Properties>
</file>