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5合理设置健身场地和空间。（总分10分）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601"/>
        <w:gridCol w:w="1134"/>
        <w:gridCol w:w="1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室外健身场地面积不少于总用地面积的 0.5%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设置宽度不少于 1.25m 的专用健身慢行道，健身慢行道长度不少于用地红线周长的 1/4 且不少于 100m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室内健身空间的面积不少于地上建筑面积的 0.3% 且不少于 60 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楼梯间具有天然采光和良好的视野，且距离主入口的距离不大于 15m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spacing w:line="288" w:lineRule="auto"/>
        <w:rPr>
          <w:rFonts w:eastAsiaTheme="minorEastAsia"/>
          <w:bCs/>
          <w:lang w:val="zh-CN"/>
        </w:rPr>
      </w:pPr>
      <w:r>
        <w:rPr>
          <w:rFonts w:hint="eastAsia" w:eastAsiaTheme="minorEastAsia"/>
        </w:rPr>
        <w:t>是否设置了健身场地和空间：</w:t>
      </w: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-20647052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室外健身场地面积：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50715.07</w:t>
      </w:r>
      <w:r>
        <w:rPr>
          <w:rFonts w:eastAsiaTheme="minorEastAsia"/>
          <w:u w:val="single"/>
          <w:lang w:val="zh-CN"/>
        </w:rPr>
        <w:t>__</w:t>
      </w:r>
      <w:r>
        <w:rPr>
          <w:rFonts w:eastAsiaTheme="minorEastAsia"/>
          <w:lang w:val="zh-CN"/>
        </w:rPr>
        <w:t>m</w:t>
      </w:r>
      <w:r>
        <w:rPr>
          <w:rFonts w:hint="eastAsia"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室外健身场地与总用地面积比例：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19.25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室内健身空间的面积：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0</w:t>
      </w:r>
      <w:r>
        <w:rPr>
          <w:rFonts w:eastAsiaTheme="minorEastAsia"/>
          <w:lang w:val="zh-CN"/>
        </w:rPr>
        <w:t>___m</w:t>
      </w:r>
      <w:r>
        <w:rPr>
          <w:rFonts w:hint="eastAsia"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室内健身空间与地上建筑面积比例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健身慢行道宽度：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1.22</w:t>
      </w:r>
      <w:r>
        <w:rPr>
          <w:rFonts w:eastAsiaTheme="minorEastAsia"/>
          <w:lang w:val="zh-CN"/>
        </w:rPr>
        <w:t>__m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健身慢行道长度：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84.40</w:t>
      </w:r>
      <w:r>
        <w:rPr>
          <w:rFonts w:eastAsiaTheme="minorEastAsia"/>
          <w:lang w:val="zh-CN"/>
        </w:rPr>
        <w:t>___m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用地红线周长：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2989.083</w:t>
      </w:r>
      <w:r>
        <w:rPr>
          <w:rFonts w:eastAsiaTheme="minorEastAsia"/>
          <w:lang w:val="zh-CN"/>
        </w:rPr>
        <w:t>___m</w:t>
      </w:r>
    </w:p>
    <w:p>
      <w:pPr>
        <w:spacing w:line="288" w:lineRule="auto"/>
        <w:rPr>
          <w:rFonts w:eastAsiaTheme="minorEastAsia"/>
          <w:bCs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楼梯间是否具有天然采光和良好的视野</w:t>
      </w:r>
      <w:r>
        <w:rPr>
          <w:rFonts w:hint="eastAsia" w:eastAsiaTheme="minorEastAsia"/>
        </w:rPr>
        <w:t>：</w:t>
      </w:r>
      <w:sdt>
        <w:sdtPr>
          <w:rPr>
            <w:rFonts w:hint="eastAsia" w:eastAsiaTheme="minorEastAsia"/>
            <w:sz w:val="28"/>
          </w:rPr>
          <w:id w:val="11261991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bCs/>
          <w:lang w:val="zh-CN"/>
        </w:rPr>
        <w:t xml:space="preserve">是 </w:t>
      </w:r>
      <w:sdt>
        <w:sdtPr>
          <w:rPr>
            <w:rFonts w:hint="eastAsia" w:eastAsiaTheme="minorEastAsia"/>
            <w:sz w:val="28"/>
          </w:rPr>
          <w:id w:val="-927347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bCs/>
          <w:lang w:val="zh-CN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楼梯间距离主入口的距离：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15</w:t>
      </w:r>
      <w:bookmarkStart w:id="0" w:name="_GoBack"/>
      <w:bookmarkEnd w:id="0"/>
      <w:r>
        <w:rPr>
          <w:rFonts w:eastAsiaTheme="minorEastAsia"/>
          <w:u w:val="single"/>
          <w:lang w:val="zh-CN"/>
        </w:rPr>
        <w:t>_</w:t>
      </w:r>
      <w:r>
        <w:rPr>
          <w:rFonts w:eastAsiaTheme="minorEastAsia"/>
          <w:lang w:val="zh-CN"/>
        </w:rPr>
        <w:t>_m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65"/>
        <w:gridCol w:w="3673"/>
        <w:gridCol w:w="1165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健身设施布局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健身慢行道路线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健身设施场地布局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楼梯间及楼梯间照明系统设计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相关产品说明书</w:t>
            </w:r>
          </w:p>
        </w:tc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健身设施布局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74B7F"/>
    <w:multiLevelType w:val="multilevel"/>
    <w:tmpl w:val="60474B7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706555"/>
    <w:rsid w:val="000B3987"/>
    <w:rsid w:val="00204346"/>
    <w:rsid w:val="00301979"/>
    <w:rsid w:val="00387907"/>
    <w:rsid w:val="00532B2B"/>
    <w:rsid w:val="006E2A76"/>
    <w:rsid w:val="00706555"/>
    <w:rsid w:val="00BE16E9"/>
    <w:rsid w:val="00C22086"/>
    <w:rsid w:val="00C33294"/>
    <w:rsid w:val="00CF496D"/>
    <w:rsid w:val="00E736EF"/>
    <w:rsid w:val="00FD4C54"/>
    <w:rsid w:val="0B122F3A"/>
    <w:rsid w:val="2EEA542A"/>
    <w:rsid w:val="375A12C0"/>
    <w:rsid w:val="3D757255"/>
    <w:rsid w:val="409A11D6"/>
    <w:rsid w:val="6C3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3</TotalTime>
  <ScaleCrop>false</ScaleCrop>
  <LinksUpToDate>false</LinksUpToDate>
  <CharactersWithSpaces>632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2020-06-04T02:14:00Z</dcterms:created>
  <dc:creator>dongYP</dc:creator>
  <cp:lastModifiedBy>景午午</cp:lastModifiedBy>
  <dcterms:modified xsi:type="dcterms:W3CDTF">2023-11-24T10:15:02Z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F2AA88D0F894434E9C1AB6E793EBB29A_12</vt:lpwstr>
  </property>
</Properties>
</file>