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新乐市马头铺学区内营小学改扩建教学楼项目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r>
              <w:rPr>
                <w:rFonts w:hint="eastAsia"/>
              </w:rPr>
              <w:t>新乐市马头铺学区内营小学</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r>
              <w:rPr>
                <w:rFonts w:hint="eastAsia"/>
              </w:rPr>
              <w:t>新中远工程设计有限公司</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2023年11月21日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建筑声环境SEDU2022</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20210808（SP1）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T15231600581</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rPr>
          <w:b w:val="0"/>
          <w:bCs w:val="0"/>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"_Toc441480674" </w:instrText>
      </w:r>
      <w:r>
        <w:fldChar w:fldCharType="separate"/>
      </w:r>
      <w:r>
        <w:rPr>
          <w:rStyle w:val="25"/>
        </w:rPr>
        <w:t>1</w:t>
      </w:r>
      <w:r>
        <w:rPr>
          <w:b w:val="0"/>
          <w:bCs w:val="0"/>
        </w:rPr>
        <w:tab/>
      </w:r>
      <w:r>
        <w:rPr>
          <w:rStyle w:val="25"/>
          <w:rFonts w:hint="eastAsia"/>
        </w:rPr>
        <w:t>建筑概况</w:t>
      </w:r>
      <w:r>
        <w:tab/>
      </w:r>
      <w:r>
        <w:fldChar w:fldCharType="begin"/>
      </w:r>
      <w:r>
        <w:instrText xml:space="preserve"> PAGEREF _Toc441480674 \h </w:instrText>
      </w:r>
      <w:r>
        <w:fldChar w:fldCharType="separate"/>
      </w:r>
      <w:r>
        <w:t>3</w:t>
      </w:r>
      <w:r>
        <w:fldChar w:fldCharType="end"/>
      </w:r>
      <w:r>
        <w:fldChar w:fldCharType="end"/>
      </w:r>
    </w:p>
    <w:p>
      <w:pPr>
        <w:pStyle w:val="18"/>
        <w:rPr>
          <w:b w:val="0"/>
          <w:bCs w:val="0"/>
        </w:rPr>
      </w:pPr>
      <w:r>
        <w:fldChar w:fldCharType="begin"/>
      </w:r>
      <w:r>
        <w:instrText xml:space="preserve"> HYPERLINK \l "_Toc441480675" </w:instrText>
      </w:r>
      <w:r>
        <w:fldChar w:fldCharType="separate"/>
      </w:r>
      <w:r>
        <w:rPr>
          <w:rStyle w:val="25"/>
        </w:rPr>
        <w:t>2</w:t>
      </w:r>
      <w:r>
        <w:rPr>
          <w:b w:val="0"/>
          <w:bCs w:val="0"/>
        </w:rPr>
        <w:tab/>
      </w:r>
      <w:r>
        <w:rPr>
          <w:rStyle w:val="25"/>
          <w:rFonts w:hint="eastAsia"/>
        </w:rPr>
        <w:t>标准依据</w:t>
      </w:r>
      <w:r>
        <w:tab/>
      </w:r>
      <w:r>
        <w:fldChar w:fldCharType="begin"/>
      </w:r>
      <w:r>
        <w:instrText xml:space="preserve"> PAGEREF _Toc441480675 \h </w:instrText>
      </w:r>
      <w:r>
        <w:fldChar w:fldCharType="separate"/>
      </w:r>
      <w:r>
        <w:t>3</w:t>
      </w:r>
      <w:r>
        <w:fldChar w:fldCharType="end"/>
      </w:r>
      <w:r>
        <w:fldChar w:fldCharType="end"/>
      </w:r>
    </w:p>
    <w:p>
      <w:pPr>
        <w:pStyle w:val="18"/>
        <w:rPr>
          <w:b w:val="0"/>
          <w:bCs w:val="0"/>
        </w:rPr>
      </w:pPr>
      <w:r>
        <w:fldChar w:fldCharType="begin"/>
      </w:r>
      <w:r>
        <w:instrText xml:space="preserve"> HYPERLINK \l "_Toc441480676" </w:instrText>
      </w:r>
      <w:r>
        <w:fldChar w:fldCharType="separate"/>
      </w:r>
      <w:r>
        <w:rPr>
          <w:rStyle w:val="25"/>
        </w:rPr>
        <w:t>3</w:t>
      </w:r>
      <w:r>
        <w:rPr>
          <w:b w:val="0"/>
          <w:bCs w:val="0"/>
        </w:rPr>
        <w:tab/>
      </w:r>
      <w:r>
        <w:rPr>
          <w:rStyle w:val="25"/>
          <w:rFonts w:hint="eastAsia"/>
        </w:rPr>
        <w:t>计算方法</w:t>
      </w:r>
      <w:r>
        <w:tab/>
      </w:r>
      <w:r>
        <w:fldChar w:fldCharType="begin"/>
      </w:r>
      <w:r>
        <w:instrText xml:space="preserve"> PAGEREF _Toc441480676 \h </w:instrText>
      </w:r>
      <w:r>
        <w:fldChar w:fldCharType="separate"/>
      </w:r>
      <w:r>
        <w:t>4</w:t>
      </w:r>
      <w:r>
        <w:fldChar w:fldCharType="end"/>
      </w:r>
      <w:r>
        <w:fldChar w:fldCharType="end"/>
      </w:r>
    </w:p>
    <w:p>
      <w:pPr>
        <w:pStyle w:val="20"/>
      </w:pPr>
      <w:r>
        <w:fldChar w:fldCharType="begin"/>
      </w:r>
      <w:r>
        <w:instrText xml:space="preserve"> HYPERLINK \l "_Toc441480677" </w:instrText>
      </w:r>
      <w:r>
        <w:fldChar w:fldCharType="separate"/>
      </w:r>
      <w:r>
        <w:rPr>
          <w:rStyle w:val="25"/>
          <w:lang w:val="en-GB"/>
        </w:rPr>
        <w:t>3.1</w:t>
      </w:r>
      <w:r>
        <w:tab/>
      </w:r>
      <w:r>
        <w:rPr>
          <w:rStyle w:val="25"/>
          <w:rFonts w:hint="eastAsia"/>
        </w:rPr>
        <w:t>空气声隔声单值评价量</w:t>
      </w:r>
      <w:r>
        <w:tab/>
      </w:r>
      <w:r>
        <w:fldChar w:fldCharType="begin"/>
      </w:r>
      <w:r>
        <w:instrText xml:space="preserve"> PAGEREF _Toc441480677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"_Toc441480678" </w:instrText>
      </w:r>
      <w:r>
        <w:fldChar w:fldCharType="separate"/>
      </w:r>
      <w:r>
        <w:rPr>
          <w:rStyle w:val="25"/>
          <w:lang w:val="en-GB"/>
        </w:rPr>
        <w:t>3.2</w:t>
      </w:r>
      <w:r>
        <w:tab/>
      </w:r>
      <w:r>
        <w:rPr>
          <w:rStyle w:val="25"/>
          <w:rFonts w:hint="eastAsia"/>
        </w:rPr>
        <w:t>空气声频谱修正量</w:t>
      </w:r>
      <w:r>
        <w:tab/>
      </w:r>
      <w:r>
        <w:fldChar w:fldCharType="begin"/>
      </w:r>
      <w:r>
        <w:instrText xml:space="preserve"> PAGEREF _Toc441480678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"_Toc441480679" </w:instrText>
      </w:r>
      <w:r>
        <w:fldChar w:fldCharType="separate"/>
      </w:r>
      <w:r>
        <w:rPr>
          <w:rStyle w:val="25"/>
          <w:lang w:val="en-GB"/>
        </w:rPr>
        <w:t>3.3</w:t>
      </w:r>
      <w:r>
        <w:tab/>
      </w:r>
      <w:r>
        <w:rPr>
          <w:rStyle w:val="25"/>
          <w:rFonts w:hint="eastAsia"/>
        </w:rPr>
        <w:t>撞击声隔声单值评价量</w:t>
      </w:r>
      <w:r>
        <w:tab/>
      </w:r>
      <w:r>
        <w:fldChar w:fldCharType="begin"/>
      </w:r>
      <w:r>
        <w:instrText xml:space="preserve"> PAGEREF _Toc441480679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"_Toc441480680" </w:instrText>
      </w:r>
      <w:r>
        <w:fldChar w:fldCharType="separate"/>
      </w:r>
      <w:r>
        <w:rPr>
          <w:rStyle w:val="25"/>
          <w:lang w:val="en-GB"/>
        </w:rPr>
        <w:t>3.4</w:t>
      </w:r>
      <w:r>
        <w:tab/>
      </w:r>
      <w:r>
        <w:rPr>
          <w:rStyle w:val="25"/>
          <w:rFonts w:hint="eastAsia"/>
        </w:rPr>
        <w:t>组合墙有效隔声量</w:t>
      </w:r>
      <w:r>
        <w:tab/>
      </w:r>
      <w:r>
        <w:fldChar w:fldCharType="begin"/>
      </w:r>
      <w:r>
        <w:instrText xml:space="preserve"> PAGEREF _Toc441480680 \h </w:instrText>
      </w:r>
      <w:r>
        <w:fldChar w:fldCharType="separate"/>
      </w:r>
      <w:r>
        <w:rPr>
          <w:rFonts w:hint="eastAsia"/>
          <w:b/>
          <w:bCs/>
        </w:rPr>
        <w:t>错误!未定义书签。</w:t>
      </w:r>
      <w:r>
        <w:fldChar w:fldCharType="end"/>
      </w:r>
      <w:r>
        <w:fldChar w:fldCharType="end"/>
      </w:r>
    </w:p>
    <w:p>
      <w:pPr>
        <w:pStyle w:val="14"/>
        <w:ind w:firstLine="180"/>
      </w:pPr>
      <w:r>
        <w:fldChar w:fldCharType="begin"/>
      </w:r>
      <w:r>
        <w:instrText xml:space="preserve"> HYPERLINK \l "_Toc441480681" </w:instrText>
      </w:r>
      <w:r>
        <w:fldChar w:fldCharType="separate"/>
      </w:r>
      <w:r>
        <w:rPr>
          <w:rStyle w:val="25"/>
          <w:lang w:val="en-GB"/>
        </w:rPr>
        <w:t>3.4.1</w:t>
      </w:r>
      <w:r>
        <w:tab/>
      </w:r>
      <w:r>
        <w:rPr>
          <w:rStyle w:val="25"/>
          <w:rFonts w:hint="eastAsia"/>
        </w:rPr>
        <w:t>组合墙有效隔声量</w:t>
      </w:r>
      <w:r>
        <w:tab/>
      </w:r>
      <w:r>
        <w:fldChar w:fldCharType="begin"/>
      </w:r>
      <w:r>
        <w:instrText xml:space="preserve"> PAGEREF _Toc441480681 \h </w:instrText>
      </w:r>
      <w:r>
        <w:fldChar w:fldCharType="separate"/>
      </w:r>
      <w:r>
        <w:rPr>
          <w:rFonts w:hint="eastAsia"/>
          <w:b/>
          <w:bCs/>
        </w:rPr>
        <w:t>错误!未定义书签。</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441480674"/>
      <w:r>
        <w:rPr>
          <w:rFonts w:hint="eastAsia"/>
        </w:rPr>
        <w:t>建筑概况</w:t>
      </w:r>
      <w:bookmarkEnd w:id="11"/>
    </w:p>
    <w:p>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工程名称</w:t>
            </w:r>
          </w:p>
        </w:tc>
        <w:tc>
          <w:tcPr>
            <w:tcW w:w="6056" w:type="dxa"/>
          </w:tcPr>
          <w:p>
            <w:pPr>
              <w:pStyle w:val="3"/>
              <w:rPr>
                <w:lang w:val="en-US"/>
              </w:rPr>
            </w:pPr>
            <w:bookmarkStart w:id="12" w:name="工程名称"/>
            <w:r>
              <w:t>新乐市马头铺学区内营小学改扩建教学楼项目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sz w:val="24"/>
                <w:vertAlign w:val="superscript"/>
                <w:lang w:val="en-US"/>
              </w:rPr>
              <w:t>2</w:t>
            </w:r>
            <w:r>
              <w:rPr>
                <w:lang w:val="en-US"/>
              </w:rPr>
              <w:t>)</w:t>
            </w:r>
          </w:p>
        </w:tc>
        <w:tc>
          <w:tcPr>
            <w:tcW w:w="6056" w:type="dxa"/>
          </w:tcPr>
          <w:p>
            <w:pPr>
              <w:pStyle w:val="3"/>
              <w:rPr>
                <w:lang w:val="en-US"/>
              </w:rPr>
            </w:pPr>
            <w:r>
              <w:rPr>
                <w:rFonts w:hint="eastAsia"/>
                <w:lang w:val="en-US"/>
              </w:rPr>
              <w:t>地上</w:t>
            </w:r>
            <w:r>
              <w:rPr>
                <w:rFonts w:hint="eastAsia"/>
                <w:lang w:val="en-US" w:eastAsia="zh-CN"/>
              </w:rPr>
              <w:t>2213.89</w:t>
            </w:r>
            <w:r>
              <w:rPr>
                <w:rFonts w:hint="eastAsia"/>
                <w:lang w:val="en-US"/>
              </w:rPr>
              <w:t xml:space="preserve">    地下</w:t>
            </w:r>
            <w:bookmarkStart w:id="13" w:name="地下建筑面积"/>
            <w:r>
              <w:rPr>
                <w:rFonts w:hint="eastAsia"/>
                <w:lang w:val="en-US"/>
              </w:rPr>
              <w:t>0</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建筑层数</w:t>
            </w:r>
          </w:p>
        </w:tc>
        <w:tc>
          <w:tcPr>
            <w:tcW w:w="6056" w:type="dxa"/>
          </w:tcPr>
          <w:p>
            <w:pPr>
              <w:pStyle w:val="3"/>
              <w:rPr>
                <w:lang w:val="en-US"/>
              </w:rPr>
            </w:pPr>
            <w:r>
              <w:rPr>
                <w:rFonts w:hint="eastAsia"/>
                <w:lang w:val="en-US"/>
              </w:rPr>
              <w:t>地上</w:t>
            </w:r>
            <w:bookmarkStart w:id="14" w:name="地上建筑层数"/>
            <w:r>
              <w:rPr>
                <w:rFonts w:hint="eastAsia"/>
                <w:lang w:val="en-US"/>
              </w:rPr>
              <w:t>3</w:t>
            </w:r>
            <w:bookmarkEnd w:id="14"/>
            <w:r>
              <w:rPr>
                <w:rFonts w:hint="eastAsia"/>
                <w:lang w:val="en-US"/>
              </w:rPr>
              <w:t xml:space="preserve">        地下</w:t>
            </w:r>
            <w:bookmarkStart w:id="15" w:name="地下建筑层数"/>
            <w:r>
              <w:t>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056" w:type="dxa"/>
          </w:tcPr>
          <w:p>
            <w:pPr>
              <w:pStyle w:val="3"/>
              <w:rPr>
                <w:lang w:val="en-US"/>
              </w:rPr>
            </w:pPr>
            <w:r>
              <w:rPr>
                <w:rFonts w:hint="eastAsia"/>
                <w:lang w:val="en-US"/>
              </w:rPr>
              <w:t>地上</w:t>
            </w:r>
            <w:r>
              <w:rPr>
                <w:rFonts w:hint="eastAsia"/>
                <w:lang w:val="en-US" w:eastAsia="zh-CN"/>
              </w:rPr>
              <w:t>12.25</w:t>
            </w:r>
            <w:r>
              <w:rPr>
                <w:rFonts w:hint="eastAsia"/>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北向角度（°）</w:t>
            </w:r>
          </w:p>
        </w:tc>
        <w:tc>
          <w:tcPr>
            <w:tcW w:w="6056" w:type="dxa"/>
          </w:tcPr>
          <w:p>
            <w:pPr>
              <w:pStyle w:val="3"/>
              <w:rPr>
                <w:lang w:val="en-US"/>
              </w:rPr>
            </w:pPr>
            <w:bookmarkStart w:id="16" w:name="北向角度"/>
            <w:r>
              <w:t>90</w:t>
            </w:r>
            <w:bookmarkEnd w:id="16"/>
          </w:p>
        </w:tc>
      </w:tr>
    </w:tbl>
    <w:p>
      <w:pPr>
        <w:jc w:val="center"/>
        <w:rPr>
          <w:lang w:val="en-US"/>
        </w:rPr>
      </w:pPr>
      <w:bookmarkStart w:id="17" w:name="围护结构概况"/>
      <w:bookmarkEnd w:id="17"/>
      <w:bookmarkStart w:id="18" w:name="单体模型观察图"/>
      <w:bookmarkEnd w:id="18"/>
      <w:bookmarkStart w:id="19" w:name="_Toc441480675"/>
      <w:r>
        <w:rPr>
          <w:lang w:val="en-US"/>
        </w:rPr>
        <w:drawing>
          <wp:inline distT="0" distB="0" distL="114300" distR="114300">
            <wp:extent cx="5755640" cy="3189605"/>
            <wp:effectExtent l="0" t="0" r="16510" b="10795"/>
            <wp:docPr id="11" name="图片 11" descr="175b218396734c238d584616b9b05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5b218396734c238d584616b9b05b3"/>
                    <pic:cNvPicPr>
                      <a:picLocks noChangeAspect="1"/>
                    </pic:cNvPicPr>
                  </pic:nvPicPr>
                  <pic:blipFill>
                    <a:blip r:embed="rId8"/>
                    <a:stretch>
                      <a:fillRect/>
                    </a:stretch>
                  </pic:blipFill>
                  <pic:spPr>
                    <a:xfrm>
                      <a:off x="0" y="0"/>
                      <a:ext cx="5755640" cy="3189605"/>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ind w:left="669" w:hanging="669"/>
      </w:pPr>
      <w:r>
        <w:rPr>
          <w:rFonts w:hint="eastAsia"/>
        </w:rPr>
        <w:t>评价依据</w:t>
      </w:r>
      <w:bookmarkEnd w:id="19"/>
    </w:p>
    <w:p>
      <w:pPr>
        <w:pStyle w:val="3"/>
        <w:numPr>
          <w:ilvl w:val="0"/>
          <w:numId w:val="2"/>
        </w:numPr>
        <w:rPr>
          <w:lang w:val="en-US"/>
        </w:rPr>
      </w:pPr>
      <w:bookmarkStart w:id="20" w:name="标准名称1"/>
      <w:r>
        <w:t>河北省《绿色建筑评价标准》DB13(J)/T 8</w:t>
      </w:r>
      <w:r>
        <w:rPr>
          <w:rFonts w:hint="eastAsia"/>
          <w:lang w:val="en-US" w:eastAsia="zh-CN"/>
        </w:rPr>
        <w:t>427</w:t>
      </w:r>
      <w:r>
        <w:t>-202</w:t>
      </w:r>
      <w:bookmarkEnd w:id="20"/>
      <w:r>
        <w:rPr>
          <w:rFonts w:hint="eastAsia"/>
          <w:lang w:val="en-US" w:eastAsia="zh-CN"/>
        </w:rPr>
        <w:t>1</w:t>
      </w:r>
    </w:p>
    <w:p>
      <w:pPr>
        <w:pStyle w:val="3"/>
        <w:numPr>
          <w:ilvl w:val="0"/>
          <w:numId w:val="2"/>
        </w:numPr>
        <w:rPr>
          <w:lang w:val="en-US"/>
        </w:rPr>
      </w:pPr>
      <w:r>
        <w:rPr>
          <w:rFonts w:hint="eastAsia"/>
          <w:lang w:val="en-US"/>
        </w:rPr>
        <w:t>《绿色建筑评价标准》</w:t>
      </w:r>
      <w:r>
        <w:rPr>
          <w:lang w:val="en-US"/>
        </w:rPr>
        <w:t>GB/T50378-2019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3"/>
        <w:numPr>
          <w:ilvl w:val="0"/>
          <w:numId w:val="2"/>
        </w:numPr>
        <w:rPr>
          <w:lang w:val="en-US"/>
        </w:rPr>
      </w:pPr>
      <w:r>
        <w:rPr>
          <w:rFonts w:hint="eastAsia"/>
          <w:lang w:val="en-US"/>
        </w:rPr>
        <w:t>《建筑设计资料集》（第二版）第2集</w:t>
      </w:r>
    </w:p>
    <w:p>
      <w:pPr>
        <w:pStyle w:val="2"/>
        <w:ind w:left="669" w:hanging="669"/>
      </w:pPr>
      <w:r>
        <w:rPr>
          <w:rFonts w:hint="eastAsia"/>
        </w:rPr>
        <w:t>标准</w:t>
      </w:r>
      <w:r>
        <w:t>要求</w:t>
      </w:r>
    </w:p>
    <w:p>
      <w:pPr>
        <w:pStyle w:val="3"/>
        <w:ind w:firstLine="420" w:firstLineChars="200"/>
      </w:pPr>
      <w:bookmarkStart w:id="21" w:name="标准名称3"/>
      <w:r>
        <w:rPr>
          <w:rFonts w:hint="eastAsia"/>
        </w:rPr>
        <w:t>河北省《绿色建筑评价标准》DB13(J)/T 8</w:t>
      </w:r>
      <w:r>
        <w:rPr>
          <w:rFonts w:hint="eastAsia"/>
          <w:lang w:val="en-US" w:eastAsia="zh-CN"/>
        </w:rPr>
        <w:t>427</w:t>
      </w:r>
      <w:bookmarkStart w:id="49" w:name="_GoBack"/>
      <w:bookmarkEnd w:id="49"/>
      <w:r>
        <w:rPr>
          <w:rFonts w:hint="eastAsia"/>
        </w:rPr>
        <w:t>-202</w:t>
      </w:r>
      <w:bookmarkEnd w:id="21"/>
      <w:r>
        <w:rPr>
          <w:rFonts w:hint="eastAsia"/>
          <w:lang w:val="en-US" w:eastAsia="zh-CN"/>
        </w:rPr>
        <w:t>1</w:t>
      </w:r>
      <w:r>
        <w:rPr>
          <w:rFonts w:hint="eastAsia"/>
        </w:rPr>
        <w:t>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left="360"/>
      </w:pPr>
      <w:bookmarkStart w:id="22" w:name="室内构件隔声条文内容1"/>
      <w:bookmarkEnd w:id="22"/>
      <w:r>
        <w:t>5.2.7 主要功能房间的隔声性能良好，评价总分值为 10 分，按下列规则分别评分并累计：</w:t>
      </w:r>
    </w:p>
    <w:p>
      <w:pPr>
        <w:pStyle w:val="3"/>
        <w:ind w:left="360"/>
      </w:pPr>
      <w:r>
        <w:t xml:space="preserve">    1 构件及相邻房间之间的空气声隔声性能达到现行国家标准《民用建筑隔声设计规范》GB 50118 中的低限标准限值和高要求标准限值的平均值，且高于低限标准限值 3dB，得 3 分；达到高要求标准限值，得 5 分；</w:t>
      </w:r>
    </w:p>
    <w:p>
      <w:pPr>
        <w:pStyle w:val="3"/>
        <w:ind w:left="360"/>
      </w:pPr>
      <w:r>
        <w:t xml:space="preserve">    2 增加楼板厚度或采用浮筑楼板、弹性面层、隔声吊顶、阻尼板等措施加强楼板撞击声隔声性能，楼板的撞击声隔声性达到现行国家标准《民用建筑隔声设计规范》GB 50118 中的低限标准限值和高要求标准限值的平均值，且低于低限标准限值 3dB，得3 分；达到高要求标准限值，得 5 分。</w:t>
      </w:r>
    </w:p>
    <w:p>
      <w:pPr>
        <w:pStyle w:val="2"/>
        <w:ind w:left="669" w:hanging="669"/>
        <w:rPr>
          <w:kern w:val="2"/>
        </w:rPr>
      </w:pPr>
      <w:bookmarkStart w:id="23" w:name="_Toc441480676"/>
      <w:bookmarkStart w:id="24" w:name="_Toc438716944"/>
      <w:r>
        <w:rPr>
          <w:rFonts w:hint="eastAsia"/>
          <w:kern w:val="2"/>
        </w:rPr>
        <w:t>隔声理论概述</w:t>
      </w:r>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r>
        <w:rPr>
          <w:rFonts w:hint="eastAsia"/>
        </w:rPr>
        <w:t>原理概要</w:t>
      </w:r>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0.55pt;width:54.7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5" w:name="_Toc503800668"/>
      <w:bookmarkStart w:id="26" w:name="_Toc503275877"/>
      <w:bookmarkStart w:id="27" w:name="_Toc503800603"/>
      <w:r>
        <w:rPr>
          <w:rFonts w:hint="eastAsia"/>
        </w:rPr>
        <w:t>质量定律</w:t>
      </w:r>
      <w:bookmarkEnd w:id="25"/>
      <w:bookmarkEnd w:id="26"/>
      <w:bookmarkEnd w:id="27"/>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41.45pt;width:107.1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r>
        <w:t>隔声</w:t>
      </w:r>
      <w:r>
        <w:rPr>
          <w:rFonts w:hint="eastAsia"/>
        </w:rPr>
        <w:t>量计算经验</w:t>
      </w:r>
      <w:r>
        <w:t>公式</w:t>
      </w:r>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jc w:val="center"/>
        <w:rPr>
          <w:color w:val="FF0000"/>
        </w:rPr>
      </w:pPr>
      <w:r>
        <w:rPr>
          <w:lang w:val="en-US"/>
        </w:rPr>
        <w:drawing>
          <wp:inline distT="0" distB="0" distL="0" distR="0">
            <wp:extent cx="3360420" cy="5156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3431722" cy="526650"/>
                    </a:xfrm>
                    <a:prstGeom prst="rect">
                      <a:avLst/>
                    </a:prstGeom>
                  </pic:spPr>
                </pic:pic>
              </a:graphicData>
            </a:graphic>
          </wp:inline>
        </w:drawing>
      </w:r>
    </w:p>
    <w:p>
      <w:pPr>
        <w:pStyle w:val="3"/>
        <w:ind w:firstLine="420" w:firstLineChars="200"/>
        <w:jc w:val="center"/>
      </w:pPr>
      <w:r>
        <w:rPr>
          <w:lang w:val="en-US"/>
        </w:rPr>
        <w:drawing>
          <wp:inline distT="0" distB="0" distL="0" distR="0">
            <wp:extent cx="3714750" cy="312737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716333" cy="3128900"/>
                    </a:xfrm>
                    <a:prstGeom prst="rect">
                      <a:avLst/>
                    </a:prstGeom>
                    <a:noFill/>
                    <a:ln>
                      <a:noFill/>
                    </a:ln>
                  </pic:spPr>
                </pic:pic>
              </a:graphicData>
            </a:graphic>
          </wp:inline>
        </w:drawing>
      </w:r>
    </w:p>
    <w:p>
      <w:pPr>
        <w:jc w:val="center"/>
        <w:rPr>
          <w:lang w:val="en-US"/>
        </w:rPr>
      </w:pPr>
      <w:r>
        <w:rPr>
          <w:rFonts w:hint="eastAsia"/>
          <w:lang w:val="en-US"/>
        </w:rPr>
        <w:t>图4-5构件500Hz隔声曲线</w:t>
      </w:r>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r>
        <w:rPr>
          <w:rFonts w:hint="eastAsia"/>
        </w:rPr>
        <w:t>单值评价量</w:t>
      </w:r>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50121-2005提供了单值评价量的计算方法。</w:t>
      </w:r>
    </w:p>
    <w:p>
      <w:pPr>
        <w:pStyle w:val="3"/>
        <w:ind w:firstLine="630" w:firstLineChars="300"/>
      </w:pPr>
      <w:r>
        <w:rPr>
          <w:rFonts w:hint="eastAsia"/>
        </w:rPr>
        <w:t>计权隔声量是表征构件空气声隔声性能的单值评价量，满足不利偏差Pi要求的最大值即为空</w:t>
      </w:r>
      <w:r>
        <w:rPr>
          <w:rFonts w:hint="eastAsia"/>
          <w:kern w:val="2"/>
          <w:lang w:val="en-US"/>
        </w:rPr>
        <w:t>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0"/>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1"/>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5.55pt;width:17.3pt;" o:ole="t" filled="f" o:preferrelative="t" stroked="f" coordsize="21600,21600">
            <v:path/>
            <v:fill on="f" focussize="0,0"/>
            <v:stroke on="f" joinstyle="miter"/>
            <v:imagedata r:id="rId23" o:title=""/>
            <o:lock v:ext="edit" aspectratio="t"/>
            <w10:wrap type="none"/>
            <w10:anchorlock/>
          </v:shape>
          <o:OLEObject Type="Embed" ProgID="Equation.DSMT4" ShapeID="_x0000_i1027" DrawAspect="Content" ObjectID="_1468075727" r:id="rId22">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5.55pt;width:12.65pt;" o:ole="t" filled="f" o:preferrelative="t" stroked="f" coordsize="21600,21600">
            <v:path/>
            <v:fill on="f" focussize="0,0"/>
            <v:stroke on="f" joinstyle="miter"/>
            <v:imagedata r:id="rId25" o:title=""/>
            <o:lock v:ext="edit" aspectratio="t"/>
            <w10:wrap type="none"/>
            <w10:anchorlock/>
          </v:shape>
          <o:OLEObject Type="Embed" ProgID="Equation.DSMT4" ShapeID="_x0000_i1028" DrawAspect="Content" ObjectID="_1468075728" r:id="rId24">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2.65pt;width:12.65pt;" o:ole="t" filled="f" o:preferrelative="t" stroked="f" coordsize="21600,21600">
            <v:path/>
            <v:fill on="f" focussize="0,0"/>
            <v:stroke on="f" joinstyle="miter"/>
            <v:imagedata r:id="rId27" o:title=""/>
            <o:lock v:ext="edit" aspectratio="t"/>
            <w10:wrap type="none"/>
            <w10:anchorlock/>
          </v:shape>
          <o:OLEObject Type="Embed" ProgID="Equation.DSMT4" ShapeID="_x0000_i1029" DrawAspect="Content" ObjectID="_1468075729" r:id="rId26">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rPr>
        <w:t>计权规范化撞击声压级是表征构件撞击声隔声性能的单值评价量，满足不利偏差要求的最小值再减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9"/>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7.3pt;width:17.85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30">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5.55pt;width:12.65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31">
            <o:LockedField>false</o:LockedField>
          </o:OLEObject>
        </w:object>
      </w:r>
      <w:r>
        <w:rPr>
          <w:rFonts w:hint="eastAsia"/>
          <w:sz w:val="20"/>
        </w:rPr>
        <w:t xml:space="preserve">— </w:t>
      </w:r>
      <w:r>
        <w:rPr>
          <w:rFonts w:hint="eastAsia"/>
          <w:kern w:val="2"/>
          <w:sz w:val="20"/>
          <w:lang w:val="en-US"/>
        </w:rPr>
        <w:t>第i个频带的撞击声压级，精确到0.1dB；</w:t>
      </w:r>
    </w:p>
    <w:p>
      <w:pPr>
        <w:ind w:right="18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r>
        <w:rPr>
          <w:rFonts w:hint="eastAsia"/>
        </w:rPr>
        <w:t>频谱修正量</w:t>
      </w:r>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2"/>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r>
        <w:rPr>
          <w:rFonts w:hint="eastAsia"/>
        </w:rPr>
        <w:t>构件空气声隔声性能</w:t>
      </w:r>
    </w:p>
    <w:p>
      <w:pPr>
        <w:pStyle w:val="4"/>
      </w:pPr>
      <w:r>
        <w:rPr>
          <w:rFonts w:hint="eastAsia"/>
        </w:rPr>
        <w:t>墙板的空气声隔声量</w:t>
      </w:r>
    </w:p>
    <w:p>
      <w:pPr>
        <w:pStyle w:val="5"/>
      </w:pPr>
      <w:r>
        <w:rPr>
          <w:rFonts w:hint="eastAsia"/>
        </w:rPr>
        <w:t>墙板构造做法</w:t>
      </w:r>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252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砂加气块（B05级）(ρ=500-550)</w:t>
            </w:r>
          </w:p>
        </w:tc>
        <w:tc>
          <w:tcPr>
            <w:vAlign w:val="center"/>
          </w:tcPr>
          <w:p>
            <w:pPr>
              <w:jc w:val="center"/>
            </w:pPr>
            <w:r>
              <w:t>350</w:t>
            </w:r>
          </w:p>
        </w:tc>
        <w:tc>
          <w:tcPr>
            <w:vAlign w:val="center"/>
          </w:tcPr>
          <w:p>
            <w:pPr>
              <w:jc w:val="center"/>
            </w:pPr>
            <w:r>
              <w:t>525</w:t>
            </w:r>
          </w:p>
        </w:tc>
        <w:tc>
          <w:tcPr>
            <w:vAlign w:val="center"/>
          </w:tcPr>
          <w:p>
            <w:pPr>
              <w:jc w:val="center"/>
            </w:pPr>
            <w:r>
              <w:t>184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pPr>
              <w:jc w:val="center"/>
            </w:pPr>
            <w:r>
              <w:t>190</w:t>
            </w:r>
          </w:p>
        </w:tc>
        <w:tc>
          <w:tcPr>
            <w:vAlign w:val="center"/>
          </w:tcPr>
          <w:p>
            <w:pPr>
              <w:jc w:val="center"/>
            </w:pPr>
            <w:r>
              <w:t>1450</w:t>
            </w:r>
          </w:p>
        </w:tc>
        <w:tc>
          <w:tcPr>
            <w:vAlign w:val="center"/>
          </w:tcPr>
          <w:p>
            <w:pPr>
              <w:jc w:val="center"/>
            </w:pPr>
            <w:r>
              <w:t>276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C20细石混凝土(ρ=2300)</w:t>
            </w:r>
          </w:p>
        </w:tc>
        <w:tc>
          <w:tcPr>
            <w:vAlign w:val="center"/>
          </w:tcPr>
          <w:p>
            <w:pPr>
              <w:jc w:val="center"/>
            </w:pPr>
            <w:r>
              <w:t>70</w:t>
            </w:r>
          </w:p>
        </w:tc>
        <w:tc>
          <w:tcPr>
            <w:vAlign w:val="center"/>
          </w:tcPr>
          <w:p>
            <w:pPr>
              <w:jc w:val="center"/>
            </w:pPr>
            <w:r>
              <w:t>2300</w:t>
            </w:r>
          </w:p>
        </w:tc>
        <w:tc>
          <w:tcPr>
            <w:vAlign w:val="center"/>
          </w:tcPr>
          <w:p>
            <w:pPr>
              <w:jc w:val="center"/>
            </w:pPr>
            <w:r>
              <w:t>161</w:t>
            </w:r>
          </w:p>
        </w:tc>
        <w:tc>
          <w:tcPr>
            <w:vMerge w:val="restart"/>
            <w:vAlign w:val="center"/>
          </w:tcPr>
          <w:p>
            <w:pPr>
              <w:jc w:val="center"/>
            </w:pPr>
            <w:r>
              <w:t>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挤塑聚苯乙烯泡沫塑料（带表皮）</w:t>
            </w:r>
          </w:p>
        </w:tc>
        <w:tc>
          <w:tcPr>
            <w:vAlign w:val="center"/>
          </w:tcPr>
          <w:p>
            <w:pPr>
              <w:jc w:val="center"/>
            </w:pPr>
            <w:r>
              <w:t>100</w:t>
            </w:r>
          </w:p>
        </w:tc>
        <w:tc>
          <w:tcPr>
            <w:vAlign w:val="center"/>
          </w:tcPr>
          <w:p>
            <w:pPr>
              <w:jc w:val="center"/>
            </w:pPr>
            <w:r>
              <w:t>35</w:t>
            </w:r>
          </w:p>
        </w:tc>
        <w:tc>
          <w:tcPr>
            <w:vAlign w:val="center"/>
          </w:tcPr>
          <w:p>
            <w:pPr>
              <w:jc w:val="center"/>
            </w:pPr>
            <w:r>
              <w:t>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膨胀珍珠岩(ρ=120)</w:t>
            </w:r>
          </w:p>
        </w:tc>
        <w:tc>
          <w:tcPr>
            <w:vAlign w:val="center"/>
          </w:tcPr>
          <w:p>
            <w:pPr>
              <w:jc w:val="center"/>
            </w:pPr>
            <w:r>
              <w:t>30</w:t>
            </w:r>
          </w:p>
        </w:tc>
        <w:tc>
          <w:tcPr>
            <w:vAlign w:val="center"/>
          </w:tcPr>
          <w:p>
            <w:pPr>
              <w:jc w:val="center"/>
            </w:pPr>
            <w:r>
              <w:t>120</w:t>
            </w:r>
          </w:p>
        </w:tc>
        <w:tc>
          <w:tcPr>
            <w:vAlign w:val="center"/>
          </w:tcPr>
          <w:p>
            <w:pPr>
              <w:jc w:val="center"/>
            </w:pPr>
            <w:r>
              <w:t>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挑空楼板</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挤塑聚苯乙烯泡沫塑料（带表皮）</w:t>
            </w:r>
          </w:p>
        </w:tc>
        <w:tc>
          <w:tcPr>
            <w:vAlign w:val="center"/>
          </w:tcPr>
          <w:p>
            <w:pPr>
              <w:jc w:val="center"/>
            </w:pPr>
            <w:r>
              <w:t>20</w:t>
            </w:r>
          </w:p>
        </w:tc>
        <w:tc>
          <w:tcPr>
            <w:vAlign w:val="center"/>
          </w:tcPr>
          <w:p>
            <w:pPr>
              <w:jc w:val="center"/>
            </w:pPr>
            <w:r>
              <w:t>35</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bl>
    <w:p>
      <w:pPr>
        <w:pStyle w:val="13"/>
        <w:ind w:firstLine="420" w:firstLineChars="0"/>
        <w:jc w:val="center"/>
        <w:rPr>
          <w:rFonts w:ascii="宋体" w:hAnsi="宋体" w:eastAsia="宋体"/>
          <w:color w:val="000000"/>
          <w:sz w:val="21"/>
          <w:szCs w:val="21"/>
        </w:rPr>
      </w:pPr>
      <w:bookmarkStart w:id="28" w:name="围护结构材料清单"/>
      <w:bookmarkEnd w:id="28"/>
    </w:p>
    <w:p>
      <w:pPr>
        <w:pStyle w:val="5"/>
      </w:pPr>
      <w:r>
        <w:rPr>
          <w:rFonts w:hint="eastAsia"/>
        </w:rPr>
        <w:t>墙板空气声隔声性能</w:t>
      </w:r>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r>
        <w:rPr>
          <w:lang w:val="en-US"/>
        </w:rPr>
        <w:t xml:space="preserve"> </w:t>
      </w:r>
    </w:p>
    <w:p>
      <w:pPr>
        <w:pStyle w:val="3"/>
        <w:ind w:left="481" w:leftChars="267"/>
        <w:jc w:val="center"/>
        <w:rPr>
          <w:lang w:val="en-US"/>
        </w:rPr>
      </w:pPr>
      <w:r>
        <w:rPr>
          <w:i/>
          <w:lang w:val="en-US"/>
        </w:rPr>
        <w:t xml:space="preserve"> R</w:t>
      </w:r>
      <w:r>
        <w:rPr>
          <w:lang w:val="en-US"/>
        </w:rPr>
        <w:t>=</w:t>
      </w:r>
      <w:bookmarkStart w:id="29" w:name="公式A1"/>
      <w:r>
        <w:t>23</w:t>
      </w:r>
      <w:bookmarkEnd w:id="29"/>
      <w:r>
        <w:rPr>
          <w:rFonts w:hint="eastAsia"/>
          <w:i/>
          <w:lang w:val="en-US"/>
        </w:rPr>
        <w:t>lg</w:t>
      </w:r>
      <w:r>
        <w:rPr>
          <w:lang w:val="en-US"/>
        </w:rPr>
        <w:t xml:space="preserve"> </w:t>
      </w:r>
      <w:r>
        <w:rPr>
          <w:rFonts w:hint="eastAsia"/>
          <w:lang w:val="en-US"/>
        </w:rPr>
        <w:t>m</w:t>
      </w:r>
      <w:r>
        <w:rPr>
          <w:lang w:val="en-US"/>
        </w:rPr>
        <w:t>+</w:t>
      </w:r>
      <w:bookmarkStart w:id="30" w:name="公式B1"/>
      <w:r>
        <w:t>11</w:t>
      </w:r>
      <w:bookmarkEnd w:id="30"/>
      <w:r>
        <w:rPr>
          <w:rFonts w:hint="eastAsia"/>
          <w:i/>
          <w:lang w:val="en-US"/>
        </w:rPr>
        <w:t>lg</w:t>
      </w:r>
      <w:r>
        <w:rPr>
          <w:i/>
          <w:lang w:val="en-US"/>
        </w:rPr>
        <w:t xml:space="preserve"> </w:t>
      </w:r>
      <w:r>
        <w:rPr>
          <w:rFonts w:hint="eastAsia"/>
          <w:lang w:val="en-US"/>
        </w:rPr>
        <w:t>f</w:t>
      </w:r>
      <w:bookmarkStart w:id="31" w:name="公式C1"/>
      <w:r>
        <w:t>-41</w:t>
      </w:r>
      <w:bookmarkEnd w:id="31"/>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pPr>
        <w:pStyle w:val="3"/>
        <w:ind w:left="481" w:leftChars="267"/>
        <w:jc w:val="center"/>
        <w:rPr>
          <w:lang w:val="en-US"/>
        </w:rPr>
      </w:pPr>
      <w:r>
        <w:rPr>
          <w:i/>
          <w:lang w:val="en-US"/>
        </w:rPr>
        <w:t xml:space="preserve"> R</w:t>
      </w:r>
      <w:r>
        <w:rPr>
          <w:lang w:val="en-US"/>
        </w:rPr>
        <w:t>=</w:t>
      </w:r>
      <w:bookmarkStart w:id="32" w:name="公式A2"/>
      <w:r>
        <w:t>13</w:t>
      </w:r>
      <w:bookmarkEnd w:id="32"/>
      <w:r>
        <w:rPr>
          <w:rFonts w:hint="eastAsia"/>
          <w:i/>
          <w:lang w:val="en-US"/>
        </w:rPr>
        <w:t>lg</w:t>
      </w:r>
      <w:r>
        <w:rPr>
          <w:lang w:val="en-US"/>
        </w:rPr>
        <w:t xml:space="preserve"> </w:t>
      </w:r>
      <w:r>
        <w:rPr>
          <w:rFonts w:hint="eastAsia"/>
          <w:lang w:val="en-US"/>
        </w:rPr>
        <w:t>m</w:t>
      </w:r>
      <w:r>
        <w:rPr>
          <w:lang w:val="en-US"/>
        </w:rPr>
        <w:t>+</w:t>
      </w:r>
      <w:bookmarkStart w:id="33" w:name="公式B2"/>
      <w:r>
        <w:t>11</w:t>
      </w:r>
      <w:bookmarkEnd w:id="33"/>
      <w:r>
        <w:rPr>
          <w:rFonts w:hint="eastAsia"/>
          <w:i/>
          <w:lang w:val="en-US"/>
        </w:rPr>
        <w:t>lg</w:t>
      </w:r>
      <w:r>
        <w:rPr>
          <w:i/>
          <w:lang w:val="en-US"/>
        </w:rPr>
        <w:t xml:space="preserve"> </w:t>
      </w:r>
      <w:r>
        <w:rPr>
          <w:rFonts w:hint="eastAsia"/>
          <w:lang w:val="en-US"/>
        </w:rPr>
        <w:t>f</w:t>
      </w:r>
      <w:bookmarkStart w:id="34" w:name="公式C2"/>
      <w:r>
        <w:t>-18</w:t>
      </w:r>
      <w:bookmarkEnd w:id="34"/>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342" w:leftChars="190" w:firstLine="619" w:firstLineChars="295"/>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普通教室间隔墙</w:t>
            </w:r>
          </w:p>
        </w:tc>
        <w:tc>
          <w:tcPr>
            <w:shd w:val="clear" w:color="auto" w:fill="E6E6E6"/>
            <w:vAlign w:val="center"/>
          </w:tcPr>
          <w:p>
            <w:r>
              <w:t>构造做法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40.4</w:t>
            </w:r>
          </w:p>
        </w:tc>
        <w:tc>
          <w:tcPr>
            <w:vAlign w:val="center"/>
          </w:tcPr>
          <w:p>
            <w:r>
              <w:t>43.7</w:t>
            </w:r>
          </w:p>
        </w:tc>
        <w:tc>
          <w:tcPr>
            <w:vAlign w:val="center"/>
          </w:tcPr>
          <w:p>
            <w:r>
              <w:t>47.0</w:t>
            </w:r>
          </w:p>
        </w:tc>
        <w:tc>
          <w:tcPr>
            <w:vAlign w:val="center"/>
          </w:tcPr>
          <w:p>
            <w:r>
              <w:t>50.3</w:t>
            </w:r>
          </w:p>
        </w:tc>
        <w:tc>
          <w:tcPr>
            <w:vAlign w:val="center"/>
          </w:tcPr>
          <w:p>
            <w:r>
              <w:t>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0.3</w:t>
            </w:r>
          </w:p>
        </w:tc>
        <w:tc>
          <w:tcPr>
            <w:vAlign w:val="center"/>
          </w:tcPr>
          <w:p>
            <w:r>
              <w:t>4.0</w:t>
            </w:r>
          </w:p>
        </w:tc>
        <w:tc>
          <w:tcPr>
            <w:vAlign w:val="center"/>
          </w:tcPr>
          <w:p>
            <w:r>
              <w:t>3.7</w:t>
            </w:r>
          </w:p>
        </w:tc>
        <w:tc>
          <w:tcPr>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教学用房外墙</w:t>
            </w:r>
          </w:p>
        </w:tc>
        <w:tc>
          <w:tcPr>
            <w:shd w:val="clear" w:color="auto" w:fill="E6E6E6"/>
            <w:vAlign w:val="center"/>
          </w:tcPr>
          <w:p>
            <w:r>
              <w:t>构造做法</w:t>
            </w:r>
          </w:p>
        </w:tc>
        <w:tc>
          <w:tcPr>
            <w:gridSpan w:val="5"/>
            <w:vAlign w:val="center"/>
          </w:tcPr>
          <w:p>
            <w:r>
              <w:t>水泥砂浆 20mm＋砂加气块（B05级）(ρ=500-550) 350mm＋石灰砂浆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252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37.3</w:t>
            </w:r>
          </w:p>
        </w:tc>
        <w:tc>
          <w:tcPr>
            <w:vAlign w:val="center"/>
          </w:tcPr>
          <w:p>
            <w:r>
              <w:t>40.6</w:t>
            </w:r>
          </w:p>
        </w:tc>
        <w:tc>
          <w:tcPr>
            <w:vAlign w:val="center"/>
          </w:tcPr>
          <w:p>
            <w:r>
              <w:t>43.9</w:t>
            </w:r>
          </w:p>
        </w:tc>
        <w:tc>
          <w:tcPr>
            <w:vAlign w:val="center"/>
          </w:tcPr>
          <w:p>
            <w:r>
              <w:t>47.2</w:t>
            </w:r>
          </w:p>
        </w:tc>
        <w:tc>
          <w:tcPr>
            <w:vAlign w:val="center"/>
          </w:tcPr>
          <w:p>
            <w:r>
              <w:t>50.5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0.4</w:t>
            </w:r>
          </w:p>
        </w:tc>
        <w:tc>
          <w:tcPr>
            <w:vAlign w:val="center"/>
          </w:tcPr>
          <w:p>
            <w:r>
              <w:t>4.1</w:t>
            </w:r>
          </w:p>
        </w:tc>
        <w:tc>
          <w:tcPr>
            <w:vAlign w:val="center"/>
          </w:tcPr>
          <w:p>
            <w:r>
              <w:t>3.8</w:t>
            </w:r>
          </w:p>
        </w:tc>
        <w:tc>
          <w:tcPr>
            <w:vAlign w:val="center"/>
          </w:tcPr>
          <w:p>
            <w:r>
              <w:t>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普通教室间楼板</w:t>
            </w:r>
          </w:p>
        </w:tc>
        <w:tc>
          <w:tcPr>
            <w:shd w:val="clear" w:color="auto" w:fill="E6E6E6"/>
            <w:vAlign w:val="center"/>
          </w:tcPr>
          <w:p>
            <w:r>
              <w:t>构造做法</w:t>
            </w:r>
          </w:p>
        </w:tc>
        <w:tc>
          <w:tcPr>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70厚混凝土板+20厚实贴木地面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72.1</w:t>
            </w:r>
          </w:p>
        </w:tc>
        <w:tc>
          <w:tcPr>
            <w:vAlign w:val="center"/>
          </w:tcPr>
          <w:p>
            <w:r>
              <w:t>74.4</w:t>
            </w:r>
          </w:p>
        </w:tc>
        <w:tc>
          <w:tcPr>
            <w:vAlign w:val="center"/>
          </w:tcPr>
          <w:p>
            <w:r>
              <w:t>76.5</w:t>
            </w:r>
          </w:p>
        </w:tc>
        <w:tc>
          <w:tcPr>
            <w:vAlign w:val="center"/>
          </w:tcPr>
          <w:p>
            <w:r>
              <w:t>71.3</w:t>
            </w:r>
          </w:p>
        </w:tc>
        <w:tc>
          <w:tcPr>
            <w:vAlign w:val="center"/>
          </w:tcPr>
          <w:p>
            <w:r>
              <w:t>62.5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0.0</w:t>
            </w:r>
          </w:p>
        </w:tc>
        <w:tc>
          <w:tcPr>
            <w:vAlign w:val="center"/>
          </w:tcPr>
          <w:p>
            <w:r>
              <w:t>0.0</w:t>
            </w:r>
          </w:p>
        </w:tc>
        <w:tc>
          <w:tcPr>
            <w:vAlign w:val="center"/>
          </w:tcPr>
          <w:p>
            <w:r>
              <w:t>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35" w:name="墙板空气声隔声量"/>
      <w:bookmarkEnd w:id="35"/>
    </w:p>
    <w:p>
      <w:pPr>
        <w:pStyle w:val="3"/>
        <w:rPr>
          <w:lang w:val="en-US"/>
        </w:rPr>
      </w:pPr>
    </w:p>
    <w:p>
      <w:pPr>
        <w:pStyle w:val="4"/>
      </w:pPr>
      <w:r>
        <w:rPr>
          <w:rFonts w:hint="eastAsia"/>
        </w:rPr>
        <w:t>门窗的空气声隔声量</w:t>
      </w:r>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教学用房的门</w:t>
            </w:r>
          </w:p>
        </w:tc>
        <w:tc>
          <w:tcPr>
            <w:vAlign w:val="center"/>
          </w:tcPr>
          <w:p>
            <w:r>
              <w:t>构造名称</w:t>
            </w:r>
          </w:p>
        </w:tc>
        <w:tc>
          <w:tcPr>
            <w:gridSpan w:val="5"/>
            <w:vAlign w:val="center"/>
          </w:tcPr>
          <w:p>
            <w:r>
              <w:t>内门,保温门（多功能门）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r>
              <w:t>木门</w:t>
            </w:r>
            <w:r>
              <w:br w:type="textWrapping"/>
            </w:r>
            <w:r>
              <w:t>60厚木门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24.0</w:t>
            </w:r>
          </w:p>
        </w:tc>
        <w:tc>
          <w:tcPr>
            <w:vAlign w:val="center"/>
          </w:tcPr>
          <w:p>
            <w:r>
              <w:t>24.0</w:t>
            </w:r>
          </w:p>
        </w:tc>
        <w:tc>
          <w:tcPr>
            <w:vAlign w:val="center"/>
          </w:tcPr>
          <w:p>
            <w:r>
              <w:t>31.0</w:t>
            </w:r>
          </w:p>
        </w:tc>
        <w:tc>
          <w:tcPr>
            <w:vAlign w:val="center"/>
          </w:tcPr>
          <w:p>
            <w:r>
              <w:t>35.0</w:t>
            </w:r>
          </w:p>
        </w:tc>
        <w:tc>
          <w:tcPr>
            <w:vAlign w:val="center"/>
          </w:tcPr>
          <w:p>
            <w: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3.0</w:t>
            </w:r>
          </w:p>
        </w:tc>
        <w:tc>
          <w:tcPr>
            <w:vAlign w:val="center"/>
          </w:tcPr>
          <w:p>
            <w:r>
              <w:t>3.0</w:t>
            </w:r>
          </w:p>
        </w:tc>
        <w:tc>
          <w:tcPr>
            <w:vAlign w:val="center"/>
          </w:tcPr>
          <w:p>
            <w:r>
              <w:t>2.0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教学用房的其他外窗</w:t>
            </w:r>
          </w:p>
        </w:tc>
        <w:tc>
          <w:tcPr>
            <w:vAlign w:val="center"/>
          </w:tcPr>
          <w:p>
            <w:r>
              <w:t>构造名称</w:t>
            </w:r>
          </w:p>
        </w:tc>
        <w:tc>
          <w:tcPr>
            <w:gridSpan w:val="5"/>
            <w:vAlign w:val="center"/>
          </w:tcPr>
          <w:p>
            <w:r>
              <w:t>12mm氩气双银Low-E中空玻璃隔热铝合金窗（下限）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r>
              <w:t>夹层玻璃隔声窗</w:t>
            </w:r>
            <w:r>
              <w:br w:type="textWrapping"/>
            </w:r>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0.0</w:t>
            </w:r>
          </w:p>
        </w:tc>
        <w:tc>
          <w:tcPr>
            <w:vAlign w:val="center"/>
          </w:tcPr>
          <w:p>
            <w:r>
              <w:t>3.0</w:t>
            </w:r>
          </w:p>
        </w:tc>
        <w:tc>
          <w:tcPr>
            <w:vAlign w:val="center"/>
          </w:tcPr>
          <w:p>
            <w:r>
              <w:t>5.0</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36" w:name="门窗空气声隔声量"/>
      <w:bookmarkEnd w:id="36"/>
    </w:p>
    <w:p>
      <w:pPr>
        <w:pStyle w:val="2"/>
        <w:ind w:left="669" w:hanging="669"/>
      </w:pPr>
      <w:r>
        <w:rPr>
          <w:rFonts w:hint="eastAsia"/>
        </w:rPr>
        <w:t>楼板撞击声隔声性能</w:t>
      </w:r>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GB50118-2010</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45"/>
        <w:gridCol w:w="1811"/>
        <w:gridCol w:w="1075"/>
        <w:gridCol w:w="1075"/>
        <w:gridCol w:w="1075"/>
        <w:gridCol w:w="1075"/>
        <w:gridCol w:w="10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sz w:val="18"/>
                <w:szCs w:val="18"/>
              </w:rPr>
              <w:t>构件</w:t>
            </w:r>
          </w:p>
        </w:tc>
        <w:tc>
          <w:tcPr>
            <w:gridSpan w:val="6"/>
            <w:shd w:val="clear" w:color="auto" w:fill="E6E6E6"/>
            <w:vAlign w:val="center"/>
          </w:tcPr>
          <w:p>
            <w:pPr>
              <w:jc w:val="center"/>
            </w:pPr>
            <w:r>
              <w:rPr>
                <w:sz w:val="18"/>
                <w:szCs w:val="18"/>
              </w:rPr>
              <w:t>构造参数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普通教室之间楼板</w:t>
            </w:r>
          </w:p>
        </w:tc>
        <w:tc>
          <w:tcPr>
            <w:shd w:val="clear" w:color="auto" w:fill="E6E6E6"/>
            <w:vAlign w:val="center"/>
          </w:tcPr>
          <w:p>
            <w:r>
              <w:rPr>
                <w:sz w:val="18"/>
                <w:szCs w:val="18"/>
              </w:rPr>
              <w:t>构造做法</w:t>
            </w:r>
          </w:p>
        </w:tc>
        <w:tc>
          <w:tcPr>
            <w:gridSpan w:val="5"/>
            <w:vAlign w:val="center"/>
          </w:tcPr>
          <w:p>
            <w:r>
              <w:rPr>
                <w:sz w:val="18"/>
                <w:szCs w:val="18"/>
              </w:rP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参照构造做法</w:t>
            </w:r>
          </w:p>
        </w:tc>
        <w:tc>
          <w:tcPr>
            <w:gridSpan w:val="5"/>
            <w:vAlign w:val="center"/>
          </w:tcPr>
          <w:p>
            <w:r>
              <w:rPr>
                <w:sz w:val="18"/>
                <w:szCs w:val="18"/>
              </w:rPr>
              <w:t>70厚混凝土板+20厚实贴木地面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倍频程中心频率</w:t>
            </w:r>
          </w:p>
        </w:tc>
        <w:tc>
          <w:tcPr>
            <w:shd w:val="clear" w:color="auto" w:fill="E6E6E6"/>
            <w:vAlign w:val="center"/>
          </w:tcPr>
          <w:p>
            <w:r>
              <w:rPr>
                <w:sz w:val="18"/>
                <w:szCs w:val="18"/>
              </w:rPr>
              <w:t>125Hz</w:t>
            </w:r>
          </w:p>
        </w:tc>
        <w:tc>
          <w:tcPr>
            <w:shd w:val="clear" w:color="auto" w:fill="E6E6E6"/>
            <w:vAlign w:val="center"/>
          </w:tcPr>
          <w:p>
            <w:r>
              <w:rPr>
                <w:sz w:val="18"/>
                <w:szCs w:val="18"/>
              </w:rPr>
              <w:t>250Hz</w:t>
            </w:r>
          </w:p>
        </w:tc>
        <w:tc>
          <w:tcPr>
            <w:shd w:val="clear" w:color="auto" w:fill="E6E6E6"/>
            <w:vAlign w:val="center"/>
          </w:tcPr>
          <w:p>
            <w:r>
              <w:rPr>
                <w:sz w:val="18"/>
                <w:szCs w:val="18"/>
              </w:rPr>
              <w:t>500Hz</w:t>
            </w:r>
          </w:p>
        </w:tc>
        <w:tc>
          <w:tcPr>
            <w:shd w:val="clear" w:color="auto" w:fill="E6E6E6"/>
            <w:vAlign w:val="center"/>
          </w:tcPr>
          <w:p>
            <w:r>
              <w:rPr>
                <w:sz w:val="18"/>
                <w:szCs w:val="18"/>
              </w:rPr>
              <w:t>1000Hz</w:t>
            </w:r>
          </w:p>
        </w:tc>
        <w:tc>
          <w:tcPr>
            <w:shd w:val="clear" w:color="auto" w:fill="E6E6E6"/>
            <w:vAlign w:val="center"/>
          </w:tcPr>
          <w:p>
            <w:r>
              <w:rPr>
                <w:sz w:val="18"/>
                <w:szCs w:val="18"/>
              </w:rPr>
              <w:t>2000Hz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分频隔声量</w:t>
            </w:r>
          </w:p>
        </w:tc>
        <w:tc>
          <w:tcPr>
            <w:vAlign w:val="center"/>
          </w:tcPr>
          <w:p>
            <w:r>
              <w:rPr>
                <w:sz w:val="18"/>
                <w:szCs w:val="18"/>
              </w:rPr>
              <w:t>72.1</w:t>
            </w:r>
          </w:p>
        </w:tc>
        <w:tc>
          <w:tcPr>
            <w:vAlign w:val="center"/>
          </w:tcPr>
          <w:p>
            <w:r>
              <w:rPr>
                <w:sz w:val="18"/>
                <w:szCs w:val="18"/>
              </w:rPr>
              <w:t>74.4</w:t>
            </w:r>
          </w:p>
        </w:tc>
        <w:tc>
          <w:tcPr>
            <w:vAlign w:val="center"/>
          </w:tcPr>
          <w:p>
            <w:r>
              <w:rPr>
                <w:sz w:val="18"/>
                <w:szCs w:val="18"/>
              </w:rPr>
              <w:t>76.5</w:t>
            </w:r>
          </w:p>
        </w:tc>
        <w:tc>
          <w:tcPr>
            <w:vAlign w:val="center"/>
          </w:tcPr>
          <w:p>
            <w:r>
              <w:rPr>
                <w:sz w:val="18"/>
                <w:szCs w:val="18"/>
              </w:rPr>
              <w:t>71.3</w:t>
            </w:r>
          </w:p>
        </w:tc>
        <w:tc>
          <w:tcPr>
            <w:vAlign w:val="center"/>
          </w:tcPr>
          <w:p>
            <w:r>
              <w:rPr>
                <w:sz w:val="18"/>
                <w:szCs w:val="18"/>
              </w:rPr>
              <w:t>62.5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不利偏差</w:t>
            </w:r>
          </w:p>
        </w:tc>
        <w:tc>
          <w:tcPr>
            <w:vAlign w:val="center"/>
          </w:tcPr>
          <w:p>
            <w:r>
              <w:rPr>
                <w:sz w:val="18"/>
                <w:szCs w:val="18"/>
              </w:rPr>
              <w:t>0.0</w:t>
            </w:r>
          </w:p>
        </w:tc>
        <w:tc>
          <w:tcPr>
            <w:vAlign w:val="center"/>
          </w:tcPr>
          <w:p>
            <w:r>
              <w:rPr>
                <w:sz w:val="18"/>
                <w:szCs w:val="18"/>
              </w:rPr>
              <w:t>0.0</w:t>
            </w:r>
          </w:p>
        </w:tc>
        <w:tc>
          <w:tcPr>
            <w:vAlign w:val="center"/>
          </w:tcPr>
          <w:p>
            <w:r>
              <w:rPr>
                <w:sz w:val="18"/>
                <w:szCs w:val="18"/>
              </w:rPr>
              <w:t>2.5</w:t>
            </w:r>
          </w:p>
        </w:tc>
        <w:tc>
          <w:tcPr>
            <w:vAlign w:val="center"/>
          </w:tcPr>
          <w:p>
            <w:r>
              <w:rPr>
                <w:sz w:val="18"/>
                <w:szCs w:val="18"/>
              </w:rPr>
              <w:t>0.3</w:t>
            </w:r>
          </w:p>
        </w:tc>
        <w:tc>
          <w:tcPr>
            <w:vAlign w:val="center"/>
          </w:tcPr>
          <w:p>
            <w:r>
              <w:rPr>
                <w:sz w:val="18"/>
                <w:szCs w:val="18"/>
              </w:rP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数据来源</w:t>
            </w:r>
          </w:p>
        </w:tc>
        <w:tc>
          <w:tcPr>
            <w:gridSpan w:val="5"/>
            <w:vAlign w:val="center"/>
          </w:tcPr>
          <w:p>
            <w:r>
              <w:rPr>
                <w:sz w:val="18"/>
                <w:szCs w:val="18"/>
              </w:rP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计权规范化撞击声压级</w:t>
            </w:r>
          </w:p>
        </w:tc>
        <w:tc>
          <w:tcPr>
            <w:gridSpan w:val="5"/>
            <w:vAlign w:val="center"/>
          </w:tcPr>
          <w:p>
            <w:r>
              <w:rPr>
                <w:sz w:val="18"/>
                <w:szCs w:val="18"/>
              </w:rP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标准限值</w:t>
            </w:r>
          </w:p>
        </w:tc>
        <w:tc>
          <w:tcPr>
            <w:gridSpan w:val="5"/>
            <w:vAlign w:val="center"/>
          </w:tcPr>
          <w:p>
            <w:r>
              <w:rPr>
                <w:sz w:val="18"/>
                <w:szCs w:val="18"/>
              </w:rP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结论</w:t>
            </w:r>
          </w:p>
        </w:tc>
        <w:tc>
          <w:tcPr>
            <w:gridSpan w:val="5"/>
            <w:vAlign w:val="center"/>
          </w:tcPr>
          <w:p>
            <w:r>
              <w:rPr>
                <w:sz w:val="18"/>
                <w:szCs w:val="18"/>
              </w:rPr>
              <w:t>满足平均要求</w:t>
            </w:r>
          </w:p>
        </w:tc>
      </w:tr>
    </w:tbl>
    <w:p>
      <w:pPr>
        <w:rPr>
          <w:lang w:val="en-US"/>
        </w:rPr>
      </w:pPr>
      <w:bookmarkStart w:id="37" w:name="撞击声隔声"/>
      <w:bookmarkEnd w:id="37"/>
    </w:p>
    <w:bookmarkEnd w:id="23"/>
    <w:bookmarkEnd w:id="24"/>
    <w:p>
      <w:pPr>
        <w:pStyle w:val="2"/>
        <w:ind w:left="669" w:hanging="669"/>
        <w:rPr>
          <w:kern w:val="2"/>
        </w:rPr>
      </w:pPr>
      <w:r>
        <w:rPr>
          <w:rFonts w:hint="eastAsia"/>
          <w:kern w:val="2"/>
        </w:rPr>
        <w:t>结论</w:t>
      </w:r>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2"/>
        <w:gridCol w:w="2377"/>
        <w:gridCol w:w="2037"/>
        <w:gridCol w:w="14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单值评价量+频谱修正量</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普通教室间隔墙</w:t>
            </w:r>
          </w:p>
        </w:tc>
        <w:tc>
          <w:tcPr>
            <w:vAlign w:val="center"/>
          </w:tcPr>
          <w:p>
            <w:r>
              <w:rPr>
                <w:b/>
              </w:rPr>
              <w:t>50</w:t>
            </w:r>
          </w:p>
        </w:tc>
        <w:tc>
          <w:tcPr>
            <w:vAlign w:val="center"/>
          </w:tcPr>
          <w:p>
            <w:r>
              <w:t>低限:&gt;45,高要求:&gt;50</w:t>
            </w:r>
          </w:p>
        </w:tc>
        <w:tc>
          <w:tcPr>
            <w:vAlign w:val="center"/>
          </w:tcPr>
          <w:p>
            <w:r>
              <w:rPr>
                <w:b/>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教学用房外墙</w:t>
            </w:r>
          </w:p>
        </w:tc>
        <w:tc>
          <w:tcPr>
            <w:vAlign w:val="center"/>
          </w:tcPr>
          <w:p>
            <w:r>
              <w:rPr>
                <w:b/>
              </w:rPr>
              <w:t>45</w:t>
            </w:r>
          </w:p>
        </w:tc>
        <w:tc>
          <w:tcPr>
            <w:vAlign w:val="center"/>
          </w:tcPr>
          <w:p>
            <w:r>
              <w:t>低限:≥45,高要求:≥50</w:t>
            </w:r>
          </w:p>
        </w:tc>
        <w:tc>
          <w:tcPr>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普通教室间楼板</w:t>
            </w:r>
          </w:p>
        </w:tc>
        <w:tc>
          <w:tcPr>
            <w:vAlign w:val="center"/>
          </w:tcPr>
          <w:p>
            <w:r>
              <w:rPr>
                <w:b/>
              </w:rPr>
              <w:t>66</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教学用房的门</w:t>
            </w:r>
          </w:p>
        </w:tc>
        <w:tc>
          <w:tcPr>
            <w:vAlign w:val="center"/>
          </w:tcPr>
          <w:p>
            <w:r>
              <w:rPr>
                <w:b/>
              </w:rPr>
              <w:t>33</w:t>
            </w:r>
          </w:p>
        </w:tc>
        <w:tc>
          <w:tcPr>
            <w:vAlign w:val="center"/>
          </w:tcPr>
          <w:p>
            <w:r>
              <w:t>低限:≥20,高要求:≥25</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教学用房的其他外窗</w:t>
            </w:r>
          </w:p>
        </w:tc>
        <w:tc>
          <w:tcPr>
            <w:vAlign w:val="center"/>
          </w:tcPr>
          <w:p>
            <w:r>
              <w:rPr>
                <w:b/>
              </w:rPr>
              <w:t>33</w:t>
            </w:r>
          </w:p>
        </w:tc>
        <w:tc>
          <w:tcPr>
            <w:vAlign w:val="center"/>
          </w:tcPr>
          <w:p>
            <w:r>
              <w:t>低限:≥25,高要求:≥30</w:t>
            </w:r>
          </w:p>
        </w:tc>
        <w:tc>
          <w:tcPr>
            <w:vAlign w:val="center"/>
          </w:tcPr>
          <w:p>
            <w:r>
              <w:rPr>
                <w:b/>
              </w:rPr>
              <w:t>满足高要求</w:t>
            </w:r>
          </w:p>
        </w:tc>
      </w:tr>
    </w:tbl>
    <w:p>
      <w:bookmarkStart w:id="38" w:name="构件隔声性能统计"/>
      <w:bookmarkEnd w:id="38"/>
    </w:p>
    <w:p>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2"/>
        <w:gridCol w:w="2377"/>
        <w:gridCol w:w="2037"/>
        <w:gridCol w:w="14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计权规范化撞击声压级</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普通教室之间楼板</w:t>
            </w:r>
          </w:p>
        </w:tc>
        <w:tc>
          <w:tcPr>
            <w:vAlign w:val="center"/>
          </w:tcPr>
          <w:p>
            <w:r>
              <w:rPr>
                <w:b/>
              </w:rPr>
              <w:t>69</w:t>
            </w:r>
          </w:p>
        </w:tc>
        <w:tc>
          <w:tcPr>
            <w:vAlign w:val="center"/>
          </w:tcPr>
          <w:p>
            <w:r>
              <w:t>低限:&lt;75,高要求:&lt;65</w:t>
            </w:r>
          </w:p>
        </w:tc>
        <w:tc>
          <w:tcPr>
            <w:vAlign w:val="center"/>
          </w:tcPr>
          <w:p>
            <w:r>
              <w:rPr>
                <w:b/>
              </w:rPr>
              <w:t>满足平均要求</w:t>
            </w:r>
          </w:p>
        </w:tc>
      </w:tr>
    </w:tbl>
    <w:p>
      <w:bookmarkStart w:id="39" w:name="撞击声隔声性能统计"/>
      <w:bookmarkEnd w:id="39"/>
    </w:p>
    <w:p>
      <w:pPr>
        <w:pStyle w:val="3"/>
        <w:rPr>
          <w:rFonts w:ascii="宋体" w:hAnsi="宋体"/>
        </w:rPr>
      </w:pPr>
      <w:r>
        <w:rPr>
          <w:rFonts w:hint="eastAsia" w:ascii="宋体" w:hAnsi="宋体"/>
        </w:rPr>
        <w:t xml:space="preserve">    综上，根据</w:t>
      </w:r>
      <w:bookmarkStart w:id="40" w:name="标准名称2"/>
      <w:r>
        <w:t>河北省《绿色建筑评价标准》DB13(J)/T 8352-2020</w:t>
      </w:r>
      <w:bookmarkEnd w:id="40"/>
      <w:r>
        <w:rPr>
          <w:rFonts w:hint="eastAsia" w:ascii="宋体" w:hAnsi="宋体"/>
        </w:rPr>
        <w:t>、《绿色建筑评</w:t>
      </w:r>
      <w:r>
        <w:t>价标准》GB/T50378-2019和《民用建筑隔声设计规范》GB50118-2010评价要求，可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897"/>
        <w:gridCol w:w="1381"/>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Cs/>
              </w:rPr>
            </w:pPr>
            <w:r>
              <w:rPr>
                <w:bCs/>
              </w:rPr>
              <w:t>检查项</w:t>
            </w:r>
          </w:p>
        </w:tc>
        <w:tc>
          <w:tcPr>
            <w:tcW w:w="5897" w:type="dxa"/>
            <w:shd w:val="clear" w:color="auto" w:fill="E6E6E6"/>
          </w:tcPr>
          <w:p>
            <w:pPr>
              <w:jc w:val="center"/>
              <w:rPr>
                <w:bCs/>
              </w:rPr>
            </w:pPr>
            <w:r>
              <w:rPr>
                <w:rFonts w:hint="eastAsia"/>
                <w:bCs/>
              </w:rPr>
              <w:t>评价</w:t>
            </w:r>
            <w:r>
              <w:rPr>
                <w:bCs/>
              </w:rPr>
              <w:t>依据</w:t>
            </w:r>
          </w:p>
        </w:tc>
        <w:tc>
          <w:tcPr>
            <w:tcW w:w="1381" w:type="dxa"/>
            <w:shd w:val="clear" w:color="auto" w:fill="E6E6E6"/>
            <w:vAlign w:val="center"/>
          </w:tcPr>
          <w:p>
            <w:pPr>
              <w:jc w:val="center"/>
              <w:rPr>
                <w:bCs/>
              </w:rPr>
            </w:pPr>
            <w:r>
              <w:rPr>
                <w:bCs/>
              </w:rPr>
              <w:t>结论</w:t>
            </w:r>
          </w:p>
        </w:tc>
        <w:tc>
          <w:tcPr>
            <w:tcW w:w="737" w:type="dxa"/>
            <w:shd w:val="clear" w:color="auto" w:fill="E6E6E6"/>
            <w:vAlign w:val="center"/>
          </w:tcPr>
          <w:p>
            <w:pPr>
              <w:jc w:val="center"/>
              <w:rPr>
                <w:bCs/>
              </w:rPr>
            </w:pPr>
            <w:r>
              <w:rPr>
                <w:bCs/>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pStyle w:val="3"/>
              <w:jc w:val="center"/>
              <w:rPr>
                <w:sz w:val="18"/>
                <w:szCs w:val="18"/>
              </w:rPr>
            </w:pPr>
            <w:r>
              <w:rPr>
                <w:rFonts w:hint="eastAsia"/>
                <w:sz w:val="18"/>
                <w:szCs w:val="18"/>
              </w:rPr>
              <w:t>空气声隔声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lang w:val="en-US"/>
              </w:rPr>
            </w:pPr>
            <w:bookmarkStart w:id="41" w:name="空气声控制项结论"/>
            <w:r>
              <w:rPr>
                <w:rFonts w:hint="eastAsia"/>
                <w:lang w:val="en-US"/>
              </w:rPr>
              <w:t>满足</w:t>
            </w:r>
            <w:bookmarkEnd w:id="41"/>
          </w:p>
        </w:tc>
        <w:tc>
          <w:tcPr>
            <w:tcW w:w="737" w:type="dxa"/>
            <w:vAlign w:val="center"/>
          </w:tcPr>
          <w:p>
            <w:pPr>
              <w:jc w:val="center"/>
              <w:rPr>
                <w:lang w:val="en-US"/>
              </w:rPr>
            </w:pPr>
            <w:r>
              <w:rPr>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jc w:val="center"/>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bookmarkStart w:id="42" w:name="室内空气声条文内容"/>
            <w:bookmarkEnd w:id="42"/>
            <w:r>
              <w:rPr>
                <w:sz w:val="18"/>
                <w:szCs w:val="18"/>
              </w:rPr>
              <w:t>5.2.7 构件及相邻房间之间的空气声隔声性能达到现行国家标准《民用建筑隔声设计规范》GB 50118 中的低限标准限值和高要求标准限值的平均值，且高于低限标准限值 3dB，得 3 分；达到高要求标准限值，得 5 分；</w:t>
            </w:r>
          </w:p>
        </w:tc>
        <w:tc>
          <w:tcPr>
            <w:tcW w:w="1381" w:type="dxa"/>
            <w:vAlign w:val="center"/>
          </w:tcPr>
          <w:p>
            <w:pPr>
              <w:jc w:val="center"/>
              <w:rPr>
                <w:lang w:val="en-US"/>
              </w:rPr>
            </w:pPr>
            <w:bookmarkStart w:id="43" w:name="空气声评分项结论"/>
            <w:r>
              <w:rPr>
                <w:rFonts w:hint="eastAsia"/>
                <w:lang w:val="en-US"/>
              </w:rPr>
              <w:t>满足低限要求</w:t>
            </w:r>
            <w:bookmarkEnd w:id="43"/>
          </w:p>
        </w:tc>
        <w:tc>
          <w:tcPr>
            <w:tcW w:w="737" w:type="dxa"/>
            <w:vAlign w:val="center"/>
          </w:tcPr>
          <w:p>
            <w:pPr>
              <w:jc w:val="center"/>
              <w:rPr>
                <w:b/>
                <w:bCs/>
                <w:lang w:val="en-US"/>
              </w:rPr>
            </w:pPr>
            <w:bookmarkStart w:id="44" w:name="空气声得分"/>
            <w:r>
              <w:rPr>
                <w:rFonts w:hint="eastAsia"/>
                <w:b/>
                <w:bCs/>
                <w:lang w:val="en-US"/>
              </w:rPr>
              <w:t>0</w:t>
            </w:r>
            <w:bookmarkEnd w:id="44"/>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pPr>
              <w:pStyle w:val="3"/>
              <w:jc w:val="center"/>
              <w:rPr>
                <w:sz w:val="18"/>
                <w:szCs w:val="18"/>
              </w:rPr>
            </w:pPr>
            <w:r>
              <w:rPr>
                <w:rFonts w:hint="eastAsia"/>
                <w:sz w:val="18"/>
                <w:szCs w:val="18"/>
              </w:rPr>
              <w:t>撞击声隔声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lang w:val="en-US"/>
              </w:rPr>
            </w:pPr>
            <w:bookmarkStart w:id="45" w:name="撞击声控制项结论"/>
            <w:r>
              <w:rPr>
                <w:rFonts w:hint="eastAsia"/>
                <w:lang w:val="en-US"/>
              </w:rPr>
              <w:t>满足</w:t>
            </w:r>
            <w:bookmarkEnd w:id="45"/>
          </w:p>
        </w:tc>
        <w:tc>
          <w:tcPr>
            <w:tcW w:w="737" w:type="dxa"/>
            <w:vAlign w:val="center"/>
          </w:tcPr>
          <w:p>
            <w:pPr>
              <w:jc w:val="center"/>
              <w:rPr>
                <w:lang w:val="en-US"/>
              </w:rPr>
            </w:pPr>
            <w:r>
              <w:rPr>
                <w:rFonts w:hint="eastAsia"/>
                <w:lang w:val="en-US"/>
              </w:rPr>
              <w:t>-</w:t>
            </w:r>
            <w:r>
              <w:rPr>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bookmarkStart w:id="46" w:name="室内撞击声条文内容"/>
            <w:bookmarkEnd w:id="46"/>
            <w:r>
              <w:rPr>
                <w:sz w:val="18"/>
                <w:szCs w:val="18"/>
              </w:rPr>
              <w:t>5.2.7 增加楼板厚度或采用浮筑楼板、弹性面层、隔声吊顶、阻尼板等措施加强楼板撞击声隔声性能，楼板的撞击声隔声性达到现行国家标准《民用建筑隔声设计规范》GB 50118 中的低限标准限值和高要求标准限值的平均值，且低于低限标准限值 3dB，得3 分；达到高要求标准限值，得 5 分。</w:t>
            </w:r>
          </w:p>
        </w:tc>
        <w:tc>
          <w:tcPr>
            <w:tcW w:w="1381" w:type="dxa"/>
            <w:vAlign w:val="center"/>
          </w:tcPr>
          <w:p>
            <w:pPr>
              <w:jc w:val="center"/>
              <w:rPr>
                <w:lang w:val="en-US"/>
              </w:rPr>
            </w:pPr>
            <w:bookmarkStart w:id="47" w:name="撞击声评分项结论"/>
            <w:r>
              <w:rPr>
                <w:rFonts w:hint="eastAsia"/>
                <w:lang w:val="en-US"/>
              </w:rPr>
              <w:t>满足平均要求</w:t>
            </w:r>
            <w:bookmarkEnd w:id="47"/>
          </w:p>
        </w:tc>
        <w:tc>
          <w:tcPr>
            <w:tcW w:w="737" w:type="dxa"/>
            <w:vAlign w:val="center"/>
          </w:tcPr>
          <w:p>
            <w:pPr>
              <w:jc w:val="center"/>
              <w:rPr>
                <w:b/>
                <w:bCs/>
                <w:lang w:val="en-US"/>
              </w:rPr>
            </w:pPr>
            <w:bookmarkStart w:id="48" w:name="撞击声得分"/>
            <w:r>
              <w:rPr>
                <w:rFonts w:hint="eastAsia"/>
                <w:b/>
                <w:bCs/>
                <w:lang w:val="en-US"/>
              </w:rPr>
              <w:t>3</w:t>
            </w:r>
            <w:bookmarkEnd w:id="48"/>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color w:val="auto"/>
        <w:u w:val="none"/>
      </w:rPr>
      <w:t>http://www.gbsware.cn/</w:t>
    </w:r>
    <w:r>
      <w:rPr>
        <w:rStyle w:val="25"/>
        <w:color w:val="auto"/>
        <w:u w:val="none"/>
      </w:rPr>
      <w:fldChar w:fldCharType="end"/>
    </w:r>
    <w:r>
      <w:ptab w:relativeTo="margin" w:alignment="center" w:leader="none"/>
    </w:r>
    <w:r>
      <w:fldChar w:fldCharType="begin"/>
    </w:r>
    <w:r>
      <w:instrText xml:space="preserve"> PAGE  \* Arabic  \* MERGEFORMAT </w:instrText>
    </w:r>
    <w:r>
      <w:fldChar w:fldCharType="separate"/>
    </w:r>
    <w:r>
      <w:t>3</w:t>
    </w:r>
    <w:r>
      <w:fldChar w:fldCharType="end"/>
    </w:r>
    <w:r>
      <w:rPr>
        <w:b/>
      </w:rPr>
      <w:t>/</w:t>
    </w:r>
    <w:r>
      <w:fldChar w:fldCharType="begin"/>
    </w:r>
    <w:r>
      <w:instrText xml:space="preserve"> NUMPAGES  \* Arabic  \* MERGEFORMAT </w:instrText>
    </w:r>
    <w:r>
      <w:fldChar w:fldCharType="separate"/>
    </w:r>
    <w:r>
      <w:t>9</w:t>
    </w:r>
    <w:r>
      <w:fldChar w:fldCharType="end"/>
    </w:r>
    <w:r>
      <w:ptab w:relativeTo="margin" w:alignment="right" w:leader="none"/>
    </w:r>
    <w: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2"/>
  </w:compat>
  <w:docVars>
    <w:docVar w:name="commondata" w:val="eyJoZGlkIjoiMDVlY2MxMGMxZDM5YWVlMGZlZDE0NzdiOTMzZmI1OTkifQ=="/>
  </w:docVars>
  <w:rsids>
    <w:rsidRoot w:val="00217F62"/>
    <w:rsid w:val="001915A3"/>
    <w:rsid w:val="00217F62"/>
    <w:rsid w:val="00A906D8"/>
    <w:rsid w:val="00AB5A74"/>
    <w:rsid w:val="00F071AE"/>
    <w:rsid w:val="46091DDC"/>
    <w:rsid w:val="60627DE5"/>
    <w:rsid w:val="770C00AF"/>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semiHidden/>
    <w:qFormat/>
    <w:uiPriority w:val="0"/>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uiPriority w:val="0"/>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numbering" Target="numbering.xml"/><Relationship Id="rId32" Type="http://schemas.openxmlformats.org/officeDocument/2006/relationships/image" Target="media/image20.png"/><Relationship Id="rId31" Type="http://schemas.openxmlformats.org/officeDocument/2006/relationships/oleObject" Target="embeddings/oleObject7.bin"/><Relationship Id="rId30" Type="http://schemas.openxmlformats.org/officeDocument/2006/relationships/oleObject" Target="embeddings/oleObject6.bin"/><Relationship Id="rId3" Type="http://schemas.openxmlformats.org/officeDocument/2006/relationships/header" Target="header1.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wmf"/><Relationship Id="rId26" Type="http://schemas.openxmlformats.org/officeDocument/2006/relationships/oleObject" Target="embeddings/oleObject5.bin"/><Relationship Id="rId25" Type="http://schemas.openxmlformats.org/officeDocument/2006/relationships/image" Target="media/image16.wmf"/><Relationship Id="rId24" Type="http://schemas.openxmlformats.org/officeDocument/2006/relationships/oleObject" Target="embeddings/oleObject4.bin"/><Relationship Id="rId23" Type="http://schemas.openxmlformats.org/officeDocument/2006/relationships/image" Target="media/image15.wmf"/><Relationship Id="rId22" Type="http://schemas.openxmlformats.org/officeDocument/2006/relationships/oleObject" Target="embeddings/oleObject3.bin"/><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wmf"/><Relationship Id="rId13" Type="http://schemas.openxmlformats.org/officeDocument/2006/relationships/oleObject" Target="embeddings/oleObject2.bin"/><Relationship Id="rId12" Type="http://schemas.openxmlformats.org/officeDocument/2006/relationships/image" Target="media/image6.png"/><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E01D8-3330-431C-9EA9-18DCF9EFF5AE}">
  <ds:schemaRefs/>
</ds:datastoreItem>
</file>

<file path=docProps/app.xml><?xml version="1.0" encoding="utf-8"?>
<Properties xmlns="http://schemas.openxmlformats.org/officeDocument/2006/extended-properties" xmlns:vt="http://schemas.openxmlformats.org/officeDocument/2006/docPropsVTypes">
  <Template>建筑构件隔声设计报告书_公建.dotx</Template>
  <Company>ths</Company>
  <Pages>9</Pages>
  <Words>771</Words>
  <Characters>4397</Characters>
  <Lines>36</Lines>
  <Paragraphs>10</Paragraphs>
  <TotalTime>383</TotalTime>
  <ScaleCrop>false</ScaleCrop>
  <LinksUpToDate>false</LinksUpToDate>
  <CharactersWithSpaces>5158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2020-11-09T02:46:00Z</dcterms:created>
  <dc:creator>jinj</dc:creator>
  <cp:lastModifiedBy>admin</cp:lastModifiedBy>
  <cp:lastPrinted>1900-12-31T16:00:00Z</cp:lastPrinted>
  <dcterms:modified xsi:type="dcterms:W3CDTF">2023-12-12T07:09:51Z</dcterms:modified>
  <dc:title>建筑构件隔声设计报告书</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494A66031D9C470786F5A30680D85039_12</vt:lpwstr>
  </property>
</Properties>
</file>