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新乐市马头铺学区内营小学改扩建教学楼项目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石家庄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新乐市马头铺学区内营小学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新中远工程设计有限公司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2023年12月12日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857375" cy="18573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_Toc1637 </w:instrText>
      </w:r>
      <w:r>
        <w:rPr>
          <w:rFonts w:ascii="宋体" w:hAnsi="宋体"/>
          <w:bCs w:val="0"/>
          <w:caps/>
        </w:rPr>
        <w:fldChar w:fldCharType="separate"/>
      </w:r>
      <w:r>
        <w:rPr>
          <w:rFonts w:hint="eastAsia"/>
        </w:rPr>
        <w:t>1 项目概况</w:t>
      </w:r>
      <w:r>
        <w:tab/>
      </w:r>
      <w:r>
        <w:fldChar w:fldCharType="begin"/>
      </w:r>
      <w:r>
        <w:instrText xml:space="preserve"> PAGEREF _Toc1637 \h </w:instrText>
      </w:r>
      <w:r>
        <w:fldChar w:fldCharType="separate"/>
      </w:r>
      <w:r>
        <w:t>5</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_Toc2564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_Toc2564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_Toc27619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_Toc27619 \h </w:instrText>
      </w:r>
      <w:r>
        <w:fldChar w:fldCharType="separate"/>
      </w:r>
      <w:r>
        <w:t>7</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_Toc24647 </w:instrText>
      </w:r>
      <w:r>
        <w:fldChar w:fldCharType="separate"/>
      </w:r>
      <w:r>
        <w:rPr>
          <w:rFonts w:hint="eastAsia"/>
        </w:rPr>
        <w:t>2 计算</w:t>
      </w:r>
      <w:r>
        <w:t>依据</w:t>
      </w:r>
      <w:r>
        <w:tab/>
      </w:r>
      <w:r>
        <w:fldChar w:fldCharType="begin"/>
      </w:r>
      <w:r>
        <w:instrText xml:space="preserve"> PAGEREF _Toc24647 \h </w:instrText>
      </w:r>
      <w:r>
        <w:fldChar w:fldCharType="separate"/>
      </w:r>
      <w:r>
        <w:t>8</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_Toc21639 </w:instrText>
      </w:r>
      <w:r>
        <w:fldChar w:fldCharType="separate"/>
      </w:r>
      <w:r>
        <w:rPr>
          <w:rFonts w:hint="eastAsia"/>
        </w:rPr>
        <w:t>3 参考</w:t>
      </w:r>
      <w:r>
        <w:t>标准</w:t>
      </w:r>
      <w:r>
        <w:tab/>
      </w:r>
      <w:r>
        <w:fldChar w:fldCharType="begin"/>
      </w:r>
      <w:r>
        <w:instrText xml:space="preserve"> PAGEREF _Toc21639 \h </w:instrText>
      </w:r>
      <w:r>
        <w:fldChar w:fldCharType="separate"/>
      </w:r>
      <w:r>
        <w:t>8</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_Toc25905 </w:instrText>
      </w:r>
      <w:r>
        <w:fldChar w:fldCharType="separate"/>
      </w:r>
      <w:r>
        <w:rPr>
          <w:rFonts w:hint="eastAsia"/>
        </w:rPr>
        <w:t>4 计算原理</w:t>
      </w:r>
      <w:r>
        <w:tab/>
      </w:r>
      <w:r>
        <w:fldChar w:fldCharType="begin"/>
      </w:r>
      <w:r>
        <w:instrText xml:space="preserve"> PAGEREF _Toc25905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_Toc1509 </w:instrText>
      </w:r>
      <w:r>
        <w:fldChar w:fldCharType="separate"/>
      </w:r>
      <w:r>
        <w:rPr>
          <w:rFonts w:hint="eastAsia"/>
          <w:lang w:val="en-GB"/>
        </w:rPr>
        <w:t xml:space="preserve">4.1 </w:t>
      </w:r>
      <w:r>
        <w:rPr>
          <w:rFonts w:hint="eastAsia"/>
        </w:rPr>
        <w:t>风场计算域</w:t>
      </w:r>
      <w:r>
        <w:tab/>
      </w:r>
      <w:r>
        <w:fldChar w:fldCharType="begin"/>
      </w:r>
      <w:r>
        <w:instrText xml:space="preserve"> PAGEREF _Toc1509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_Toc6883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_Toc6883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_Toc26891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_Toc26891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_Toc16348 </w:instrText>
      </w:r>
      <w:r>
        <w:fldChar w:fldCharType="separate"/>
      </w:r>
      <w:r>
        <w:rPr>
          <w:rFonts w:hint="eastAsia" w:eastAsia="宋体"/>
          <w:szCs w:val="24"/>
          <w:lang w:val="en-GB"/>
        </w:rPr>
        <w:t xml:space="preserve">4.1.3 </w:t>
      </w:r>
      <w:r>
        <w:rPr>
          <w:rFonts w:hint="eastAsia"/>
        </w:rPr>
        <w:t>过渡季工况风场计算域</w:t>
      </w:r>
      <w:r>
        <w:tab/>
      </w:r>
      <w:r>
        <w:fldChar w:fldCharType="begin"/>
      </w:r>
      <w:r>
        <w:instrText xml:space="preserve"> PAGEREF _Toc16348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_Toc32126 </w:instrText>
      </w:r>
      <w:r>
        <w:fldChar w:fldCharType="separate"/>
      </w:r>
      <w:r>
        <w:rPr>
          <w:rFonts w:hint="eastAsia"/>
          <w:lang w:val="en-GB"/>
        </w:rPr>
        <w:t xml:space="preserve">4.2 </w:t>
      </w:r>
      <w:r>
        <w:rPr>
          <w:rFonts w:hint="eastAsia"/>
        </w:rPr>
        <w:t>网格划分</w:t>
      </w:r>
      <w:r>
        <w:tab/>
      </w:r>
      <w:r>
        <w:fldChar w:fldCharType="begin"/>
      </w:r>
      <w:r>
        <w:instrText xml:space="preserve"> PAGEREF _Toc32126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_Toc11397 </w:instrText>
      </w:r>
      <w:r>
        <w:fldChar w:fldCharType="separate"/>
      </w:r>
      <w:r>
        <w:rPr>
          <w:rFonts w:hint="eastAsia"/>
          <w:lang w:val="en-GB"/>
        </w:rPr>
        <w:t xml:space="preserve">4.3 </w:t>
      </w:r>
      <w:r>
        <w:rPr>
          <w:rFonts w:hint="eastAsia"/>
        </w:rPr>
        <w:t>边界条件</w:t>
      </w:r>
      <w:r>
        <w:tab/>
      </w:r>
      <w:r>
        <w:fldChar w:fldCharType="begin"/>
      </w:r>
      <w:r>
        <w:instrText xml:space="preserve"> PAGEREF _Toc11397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_Toc7445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_Toc7445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_Toc29226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_Toc29226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_Toc24465 </w:instrText>
      </w:r>
      <w:r>
        <w:fldChar w:fldCharType="separate"/>
      </w:r>
      <w:r>
        <w:rPr>
          <w:rFonts w:hint="eastAsia"/>
          <w:lang w:val="en-GB"/>
        </w:rPr>
        <w:t xml:space="preserve">4.4 </w:t>
      </w:r>
      <w:r>
        <w:rPr>
          <w:rFonts w:hint="eastAsia"/>
        </w:rPr>
        <w:t>湍流模型</w:t>
      </w:r>
      <w:r>
        <w:tab/>
      </w:r>
      <w:r>
        <w:fldChar w:fldCharType="begin"/>
      </w:r>
      <w:r>
        <w:instrText xml:space="preserve"> PAGEREF _Toc24465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_Toc28316 </w:instrText>
      </w:r>
      <w:r>
        <w:fldChar w:fldCharType="separate"/>
      </w:r>
      <w:r>
        <w:rPr>
          <w:rFonts w:hint="eastAsia"/>
          <w:lang w:val="en-GB"/>
        </w:rPr>
        <w:t xml:space="preserve">4.5 </w:t>
      </w:r>
      <w:r>
        <w:rPr>
          <w:rFonts w:hint="eastAsia"/>
        </w:rPr>
        <w:t>求解计算</w:t>
      </w:r>
      <w:r>
        <w:tab/>
      </w:r>
      <w:r>
        <w:fldChar w:fldCharType="begin"/>
      </w:r>
      <w:r>
        <w:instrText xml:space="preserve"> PAGEREF _Toc28316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_Toc9260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_Toc9260 \h </w:instrText>
      </w:r>
      <w:r>
        <w:fldChar w:fldCharType="separate"/>
      </w:r>
      <w:r>
        <w:t>15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_Toc14457 </w:instrText>
      </w:r>
      <w:r>
        <w:fldChar w:fldCharType="separate"/>
      </w:r>
      <w:r>
        <w:rPr>
          <w:rFonts w:hint="eastAsia"/>
        </w:rPr>
        <w:t>5 结果</w:t>
      </w:r>
      <w:r>
        <w:t>分析</w:t>
      </w:r>
      <w:r>
        <w:tab/>
      </w:r>
      <w:r>
        <w:fldChar w:fldCharType="begin"/>
      </w:r>
      <w:r>
        <w:instrText xml:space="preserve"> PAGEREF _Toc14457 \h </w:instrText>
      </w:r>
      <w:r>
        <w:fldChar w:fldCharType="separate"/>
      </w:r>
      <w:r>
        <w:t>17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_Toc16668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_Toc16668 \h </w:instrText>
      </w:r>
      <w:r>
        <w:fldChar w:fldCharType="separate"/>
      </w:r>
      <w:r>
        <w:t>17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_Toc3902 </w:instrText>
      </w:r>
      <w:r>
        <w:fldChar w:fldCharType="separate"/>
      </w:r>
      <w:r>
        <w:rPr>
          <w:rFonts w:hint="eastAsia"/>
          <w:lang w:val="en-GB"/>
        </w:rPr>
        <w:t xml:space="preserve">5.2 </w:t>
      </w:r>
      <w:r>
        <w:rPr>
          <w:rFonts w:hint="eastAsia"/>
        </w:rPr>
        <w:t>冬季工况</w:t>
      </w:r>
      <w:r>
        <w:tab/>
      </w:r>
      <w:r>
        <w:fldChar w:fldCharType="begin"/>
      </w:r>
      <w:r>
        <w:instrText xml:space="preserve"> PAGEREF _Toc3902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_Toc2662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_Toc2662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_Toc20279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_Toc20279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_Toc26905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_Toc26905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_Toc228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_Toc228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_Toc28125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_Toc28125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_Toc7119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_Toc7119 \h </w:instrText>
      </w:r>
      <w:r>
        <w:fldChar w:fldCharType="separate"/>
      </w:r>
      <w:r>
        <w:t>19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_Toc15764 </w:instrText>
      </w:r>
      <w:r>
        <w:fldChar w:fldCharType="separate"/>
      </w:r>
      <w:r>
        <w:rPr>
          <w:rFonts w:hint="eastAsia"/>
          <w:lang w:val="en-GB"/>
        </w:rPr>
        <w:t xml:space="preserve">5.3 </w:t>
      </w:r>
      <w:r>
        <w:rPr>
          <w:rFonts w:hint="eastAsia"/>
        </w:rPr>
        <w:t>夏季工况</w:t>
      </w:r>
      <w:r>
        <w:tab/>
      </w:r>
      <w:r>
        <w:fldChar w:fldCharType="begin"/>
      </w:r>
      <w:r>
        <w:instrText xml:space="preserve"> PAGEREF _Toc15764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_Toc30440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_Toc30440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_Toc19123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_Toc19123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_Toc31983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_Toc31983 \h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_Toc5781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_Toc5781 \h </w:instrText>
      </w:r>
      <w:r>
        <w:fldChar w:fldCharType="separate"/>
      </w:r>
      <w:r>
        <w:t>23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_Toc19717 </w:instrText>
      </w:r>
      <w:r>
        <w:fldChar w:fldCharType="separate"/>
      </w:r>
      <w:r>
        <w:rPr>
          <w:rFonts w:hint="eastAsia"/>
          <w:lang w:val="en-GB"/>
        </w:rPr>
        <w:t xml:space="preserve">5.4 </w:t>
      </w:r>
      <w:r>
        <w:rPr>
          <w:rFonts w:hint="eastAsia"/>
        </w:rPr>
        <w:t>过渡季工况</w:t>
      </w:r>
      <w:r>
        <w:tab/>
      </w:r>
      <w:r>
        <w:fldChar w:fldCharType="begin"/>
      </w:r>
      <w:r>
        <w:instrText xml:space="preserve"> PAGEREF _Toc19717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_Toc8770 </w:instrText>
      </w:r>
      <w:r>
        <w:fldChar w:fldCharType="separate"/>
      </w:r>
      <w:r>
        <w:rPr>
          <w:rFonts w:hint="eastAsia" w:eastAsia="宋体"/>
          <w:szCs w:val="24"/>
          <w:lang w:val="en-GB"/>
        </w:rPr>
        <w:t xml:space="preserve">5.4.1 </w:t>
      </w:r>
      <w:r>
        <w:rPr>
          <w:rFonts w:hint="eastAsia"/>
        </w:rPr>
        <w:t>人活动区域无风区计算分析</w:t>
      </w:r>
      <w:r>
        <w:tab/>
      </w:r>
      <w:r>
        <w:fldChar w:fldCharType="begin"/>
      </w:r>
      <w:r>
        <w:instrText xml:space="preserve"> PAGEREF _Toc8770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_Toc28882 </w:instrText>
      </w:r>
      <w:r>
        <w:fldChar w:fldCharType="separate"/>
      </w:r>
      <w:r>
        <w:rPr>
          <w:rFonts w:hint="eastAsia" w:eastAsia="宋体"/>
          <w:szCs w:val="24"/>
          <w:lang w:val="en-GB"/>
        </w:rPr>
        <w:t xml:space="preserve">5.4.2 </w:t>
      </w:r>
      <w:r>
        <w:rPr>
          <w:rFonts w:hint="eastAsia"/>
        </w:rPr>
        <w:t>人活动区域旋涡区分析</w:t>
      </w:r>
      <w:r>
        <w:tab/>
      </w:r>
      <w:r>
        <w:fldChar w:fldCharType="begin"/>
      </w:r>
      <w:r>
        <w:instrText xml:space="preserve"> PAGEREF _Toc28882 \h </w:instrText>
      </w:r>
      <w:r>
        <w:fldChar w:fldCharType="separate"/>
      </w:r>
      <w:r>
        <w:t>26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_Toc12922 </w:instrText>
      </w:r>
      <w:r>
        <w:fldChar w:fldCharType="separate"/>
      </w:r>
      <w:r>
        <w:rPr>
          <w:rFonts w:hint="eastAsia" w:eastAsia="宋体"/>
          <w:szCs w:val="24"/>
          <w:lang w:val="en-GB"/>
        </w:rPr>
        <w:t xml:space="preserve">5.4.3 </w:t>
      </w:r>
      <w:r>
        <w:rPr>
          <w:rFonts w:hint="eastAsia"/>
        </w:rPr>
        <w:t>人活动区域旋涡区/无风区达标结果汇总</w:t>
      </w:r>
      <w:r>
        <w:tab/>
      </w:r>
      <w:r>
        <w:fldChar w:fldCharType="begin"/>
      </w:r>
      <w:r>
        <w:instrText xml:space="preserve"> PAGEREF _Toc12922 \h </w:instrText>
      </w:r>
      <w:r>
        <w:fldChar w:fldCharType="separate"/>
      </w:r>
      <w:r>
        <w:t>26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_Toc23789 </w:instrText>
      </w:r>
      <w:r>
        <w:fldChar w:fldCharType="separate"/>
      </w:r>
      <w:r>
        <w:rPr>
          <w:rFonts w:hint="eastAsia" w:eastAsia="宋体"/>
          <w:szCs w:val="24"/>
          <w:lang w:val="en-GB"/>
        </w:rPr>
        <w:t xml:space="preserve">5.4.4 </w:t>
      </w:r>
      <w:r>
        <w:rPr>
          <w:rFonts w:hint="eastAsia"/>
        </w:rPr>
        <w:t>外窗内外表面风压差达标分析</w:t>
      </w:r>
      <w:r>
        <w:tab/>
      </w:r>
      <w:r>
        <w:fldChar w:fldCharType="begin"/>
      </w:r>
      <w:r>
        <w:instrText xml:space="preserve"> PAGEREF _Toc23789 \h </w:instrText>
      </w:r>
      <w:r>
        <w:fldChar w:fldCharType="separate"/>
      </w:r>
      <w:r>
        <w:t>26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_Toc26882 </w:instrText>
      </w:r>
      <w:r>
        <w:fldChar w:fldCharType="separate"/>
      </w:r>
      <w:r>
        <w:rPr>
          <w:rFonts w:hint="eastAsia"/>
          <w:lang w:val="en-GB"/>
        </w:rPr>
        <w:t xml:space="preserve">5.5 </w:t>
      </w:r>
      <w:r>
        <w:rPr>
          <w:rFonts w:hint="eastAsia"/>
        </w:rPr>
        <w:t>结论</w:t>
      </w:r>
      <w:r>
        <w:tab/>
      </w:r>
      <w:r>
        <w:fldChar w:fldCharType="begin"/>
      </w:r>
      <w:r>
        <w:instrText xml:space="preserve"> PAGEREF _Toc26882 \h </w:instrText>
      </w:r>
      <w:r>
        <w:fldChar w:fldCharType="separate"/>
      </w:r>
      <w:r>
        <w:t>28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_Toc21860 </w:instrText>
      </w:r>
      <w:r>
        <w:fldChar w:fldCharType="separate"/>
      </w:r>
      <w:r>
        <w:rPr>
          <w:rFonts w:hint="eastAsia" w:eastAsia="宋体"/>
          <w:szCs w:val="24"/>
          <w:lang w:val="en-GB"/>
        </w:rPr>
        <w:t xml:space="preserve">5.5.1 </w:t>
      </w:r>
      <w:r>
        <w:rPr>
          <w:rFonts w:hint="eastAsia"/>
        </w:rPr>
        <w:t>冬季工况达标判断</w:t>
      </w:r>
      <w:r>
        <w:tab/>
      </w:r>
      <w:r>
        <w:fldChar w:fldCharType="begin"/>
      </w:r>
      <w:r>
        <w:instrText xml:space="preserve"> PAGEREF _Toc21860 \h </w:instrText>
      </w:r>
      <w:r>
        <w:fldChar w:fldCharType="separate"/>
      </w:r>
      <w:r>
        <w:t>28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_Toc1422 </w:instrText>
      </w:r>
      <w:r>
        <w:fldChar w:fldCharType="separate"/>
      </w:r>
      <w:r>
        <w:rPr>
          <w:rFonts w:hint="eastAsia" w:eastAsia="宋体"/>
          <w:szCs w:val="24"/>
          <w:lang w:val="en-GB"/>
        </w:rPr>
        <w:t xml:space="preserve">5.5.2 </w:t>
      </w:r>
      <w:r>
        <w:rPr>
          <w:rFonts w:hint="eastAsia"/>
        </w:rPr>
        <w:t>过渡季、夏季工况达标判断</w:t>
      </w:r>
      <w:r>
        <w:tab/>
      </w:r>
      <w:r>
        <w:fldChar w:fldCharType="begin"/>
      </w:r>
      <w:r>
        <w:instrText xml:space="preserve"> PAGEREF _Toc1422 \h </w:instrText>
      </w:r>
      <w:r>
        <w:fldChar w:fldCharType="separate"/>
      </w:r>
      <w:r>
        <w:t>28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1637"/>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564"/>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5" w:name="总平面图"/>
      <w: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27619"/>
      <w:bookmarkStart w:id="17" w:name="_Toc452108761"/>
      <w:r>
        <w:rPr>
          <w:rFonts w:hint="eastAsia"/>
        </w:rPr>
        <w:t>三</w:t>
      </w:r>
      <w:r>
        <w:t>维视图</w:t>
      </w:r>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TitleFormat"/>
      <w:bookmarkStart w:id="21" w:name="_Toc24647"/>
      <w:bookmarkStart w:id="22" w:name="_Toc452108762"/>
      <w:r>
        <w:rPr>
          <w:rFonts w:hint="eastAsia"/>
        </w:rPr>
        <w:t>计算</w:t>
      </w:r>
      <w:r>
        <w:t>依据</w:t>
      </w:r>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河北《绿色建筑评价标准》DB13(J)T</w:t>
      </w:r>
      <w:r>
        <w:rPr>
          <w:rFonts w:hint="eastAsia"/>
          <w:lang w:val="en-US" w:eastAsia="zh-CN"/>
        </w:rPr>
        <w:t>8427</w:t>
      </w:r>
      <w:r>
        <w:rPr>
          <w:rFonts w:hint="eastAsia"/>
          <w:lang w:val="en-US"/>
        </w:rPr>
        <w:t>-202</w:t>
      </w:r>
      <w:r>
        <w:rPr>
          <w:rFonts w:hint="eastAsia"/>
          <w:lang w:val="en-US" w:eastAsia="zh-CN"/>
        </w:rPr>
        <w:t>1</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21639"/>
      <w:bookmarkStart w:id="25" w:name="_Toc452108763"/>
      <w:r>
        <w:rPr>
          <w:rFonts w:hint="eastAsia"/>
        </w:rPr>
        <w:t>参考</w:t>
      </w:r>
      <w:r>
        <w:t>标准</w:t>
      </w:r>
      <w:bookmarkEnd w:id="24"/>
    </w:p>
    <w:p>
      <w:pPr>
        <w:pStyle w:val="3"/>
        <w:ind w:firstLine="420"/>
        <w:rPr>
          <w:lang w:val="en-US"/>
        </w:rPr>
      </w:pPr>
      <w:r>
        <w:rPr>
          <w:rFonts w:hint="eastAsia"/>
          <w:lang w:val="en-US"/>
        </w:rPr>
        <w:t>室外风环境评价依据为</w:t>
      </w:r>
      <w:bookmarkStart w:id="26" w:name="参考标准名称2"/>
      <w:r>
        <w:rPr>
          <w:rFonts w:hint="eastAsia"/>
          <w:lang w:val="en-US"/>
        </w:rPr>
        <w:t>河北《绿色建筑评价标准》DB13(J)T</w:t>
      </w:r>
      <w:r>
        <w:rPr>
          <w:rFonts w:hint="eastAsia"/>
          <w:lang w:val="en-US" w:eastAsia="zh-CN"/>
        </w:rPr>
        <w:t>8427</w:t>
      </w:r>
      <w:r>
        <w:rPr>
          <w:rFonts w:hint="eastAsia"/>
          <w:lang w:val="en-US"/>
        </w:rPr>
        <w:t>-202</w:t>
      </w:r>
      <w:r>
        <w:rPr>
          <w:rFonts w:hint="eastAsia"/>
          <w:lang w:val="en-US" w:eastAsia="zh-CN"/>
        </w:rPr>
        <w:t>1</w:t>
      </w:r>
      <w:r>
        <w:rPr>
          <w:rFonts w:hint="eastAsia"/>
          <w:lang w:val="en-US"/>
        </w:rPr>
        <w:t>中有关室外风环境的条目要求。具体要求如下：</w:t>
      </w:r>
    </w:p>
    <w:p>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25905"/>
      <w:r>
        <w:rPr>
          <w:rFonts w:hint="eastAsia"/>
        </w:rPr>
        <w:t>计算原理</w:t>
      </w:r>
      <w:bookmarkEnd w:id="34"/>
    </w:p>
    <w:p>
      <w:pPr>
        <w:pStyle w:val="4"/>
        <w:numPr>
          <w:ilvl w:val="1"/>
          <w:numId w:val="3"/>
        </w:numPr>
      </w:pPr>
      <w:bookmarkStart w:id="35" w:name="_Toc509844740"/>
      <w:bookmarkStart w:id="36" w:name="_Toc1509"/>
      <w:bookmarkStart w:id="37" w:name="_Toc451698937"/>
      <w:bookmarkStart w:id="38" w:name="_Toc452108765"/>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_Toc6883"/>
      <w:bookmarkStart w:id="40" w:name="季节1"/>
      <w:r>
        <w:rPr>
          <w:rFonts w:hint="eastAsia"/>
        </w:rPr>
        <w:t>冬季工况风场计算域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X尺寸"/>
            <w:r>
              <w:t>308</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Y尺寸"/>
            <w:r>
              <w:t>254</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Z尺寸"/>
            <w:r>
              <w:t>113</w:t>
            </w:r>
            <w:bookmarkEnd w:id="44"/>
          </w:p>
        </w:tc>
      </w:tr>
    </w:tbl>
    <w:p>
      <w:pPr>
        <w:pStyle w:val="3"/>
        <w:ind w:firstLine="0" w:firstLineChars="0"/>
        <w:jc w:val="center"/>
        <w:rPr>
          <w:lang w:val="en-US"/>
        </w:rPr>
      </w:pPr>
      <w:bookmarkStart w:id="45" w:name="冬季工况风场计算域图示"/>
      <w:bookmarkEnd w:id="45"/>
      <w: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pPr>
        <w:pStyle w:val="5"/>
        <w:numPr>
          <w:ilvl w:val="2"/>
          <w:numId w:val="3"/>
        </w:numPr>
      </w:pPr>
      <w:bookmarkStart w:id="47" w:name="_Toc26891"/>
      <w:r>
        <w:rPr>
          <w:rFonts w:hint="eastAsia"/>
        </w:rPr>
        <w:t>夏季工况风场计算域</w:t>
      </w:r>
      <w:bookmarkEnd w:id="4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113</w:t>
            </w:r>
          </w:p>
        </w:tc>
      </w:tr>
    </w:tbl>
    <w:p>
      <w:pPr>
        <w:pStyle w:val="3"/>
        <w:ind w:firstLine="0" w:firstLineChars="0"/>
        <w:jc w:val="center"/>
        <w:rPr>
          <w:lang w:val="en-US"/>
        </w:rPr>
      </w:pPr>
      <w:r>
        <w:drawing>
          <wp:inline distT="0" distB="0" distL="0" distR="0">
            <wp:extent cx="5667375" cy="2809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5"/>
        <w:numPr>
          <w:ilvl w:val="2"/>
          <w:numId w:val="3"/>
        </w:numPr>
      </w:pPr>
      <w:bookmarkStart w:id="48" w:name="_Toc16348"/>
      <w:r>
        <w:rPr>
          <w:rFonts w:hint="eastAsia"/>
        </w:rPr>
        <w:t>过渡季工况风场计算域</w:t>
      </w:r>
      <w:bookmarkEnd w:id="4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113</w:t>
            </w:r>
          </w:p>
        </w:tc>
      </w:tr>
    </w:tbl>
    <w:p>
      <w:pPr>
        <w:pStyle w:val="3"/>
        <w:ind w:firstLine="0" w:firstLineChars="0"/>
        <w:jc w:val="center"/>
        <w:rPr>
          <w:lang w:val="en-US"/>
        </w:rPr>
      </w:pPr>
      <w:r>
        <w:drawing>
          <wp:inline distT="0" distB="0" distL="0" distR="0">
            <wp:extent cx="5667375" cy="28098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509844741"/>
      <w:bookmarkStart w:id="51" w:name="_Toc32126"/>
      <w:r>
        <w:rPr>
          <w:rFonts w:hint="eastAsia"/>
        </w:rPr>
        <w:t>网格划分</w:t>
      </w:r>
      <w:bookmarkEnd w:id="50"/>
      <w:bookmarkEnd w:id="51"/>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7"/>
      <w:bookmarkStart w:id="53" w:name="OLE_LINK276"/>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5" w:name="冬季网格总数"/>
            <w:r>
              <w:t>153450</w:t>
            </w:r>
            <w:bookmarkEnd w:id="55"/>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分弧精度"/>
            <w:r>
              <w:t>0.24</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初始网格"/>
            <w:r>
              <w:t>8.0</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最小细分级数"/>
            <w:r>
              <w:t>1</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大细分级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远场细分级数"/>
            <w:r>
              <w:t>1</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近场细分级数"/>
            <w:r>
              <w:t>2</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地面附面层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建筑附面层数"/>
            <w:r>
              <w:t>0</w:t>
            </w:r>
            <w:bookmarkEnd w:id="63"/>
          </w:p>
        </w:tc>
      </w:tr>
    </w:tbl>
    <w:p>
      <w:pPr>
        <w:rPr>
          <w:szCs w:val="21"/>
          <w:lang w:val="en-US"/>
        </w:rPr>
      </w:pPr>
    </w:p>
    <w:p>
      <w:pPr>
        <w:jc w:val="center"/>
      </w:pPr>
      <w:bookmarkStart w:id="64" w:name="网格图"/>
      <w:bookmarkEnd w:id="64"/>
      <w:r>
        <w:drawing>
          <wp:inline distT="0" distB="0" distL="0" distR="0">
            <wp:extent cx="5667375" cy="28194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4"/>
                    <a:stretch>
                      <a:fillRect/>
                    </a:stretch>
                  </pic:blipFill>
                  <pic:spPr>
                    <a:xfrm>
                      <a:off x="0" y="0"/>
                      <a:ext cx="5667375" cy="28194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5" w:name="季节"/>
      <w:r>
        <w:rPr>
          <w:rFonts w:hint="eastAsia" w:ascii="黑体" w:hAnsi="黑体" w:eastAsia="黑体"/>
          <w:sz w:val="20"/>
          <w:szCs w:val="20"/>
        </w:rPr>
        <w:t>冬季</w:t>
      </w:r>
      <w:bookmarkEnd w:id="65"/>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145007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28194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5"/>
                    <a:stretch>
                      <a:fillRect/>
                    </a:stretch>
                  </pic:blipFill>
                  <pic:spPr>
                    <a:xfrm>
                      <a:off x="0" y="0"/>
                      <a:ext cx="5667375" cy="28194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145007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28194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28194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网格图-过渡季</w:t>
      </w:r>
    </w:p>
    <w:p>
      <w:pPr>
        <w:pStyle w:val="3"/>
        <w:ind w:firstLine="630" w:firstLineChars="300"/>
        <w:rPr>
          <w:rFonts w:ascii="黑体" w:hAnsi="黑体" w:eastAsia="黑体"/>
          <w:szCs w:val="20"/>
          <w:lang w:val="en-US"/>
        </w:rPr>
      </w:pPr>
      <w:bookmarkStart w:id="66" w:name="网格划分信息"/>
      <w:bookmarkEnd w:id="66"/>
      <w:r>
        <w:rPr>
          <w:rFonts w:hint="eastAsia" w:ascii="黑体" w:hAnsi="黑体" w:eastAsia="黑体"/>
          <w:szCs w:val="20"/>
          <w:lang w:val="en-US"/>
        </w:rPr>
        <w:t>注：前述计算域随风向不同，所以相同的网格方案会产生不同的网格数量。</w:t>
      </w:r>
    </w:p>
    <w:bookmarkEnd w:id="49"/>
    <w:p>
      <w:pPr>
        <w:pStyle w:val="3"/>
        <w:ind w:firstLine="0" w:firstLineChars="0"/>
        <w:rPr>
          <w:rFonts w:ascii="黑体" w:hAnsi="黑体" w:eastAsia="黑体"/>
          <w:szCs w:val="20"/>
          <w:lang w:val="en-US"/>
        </w:rPr>
      </w:pPr>
    </w:p>
    <w:p>
      <w:pPr>
        <w:pStyle w:val="4"/>
        <w:numPr>
          <w:ilvl w:val="1"/>
          <w:numId w:val="3"/>
        </w:numPr>
      </w:pPr>
      <w:bookmarkStart w:id="67" w:name="_Toc509844742"/>
      <w:bookmarkStart w:id="68" w:name="_Toc11397"/>
      <w:r>
        <w:rPr>
          <w:rFonts w:hint="eastAsia"/>
        </w:rPr>
        <w:t>边界条件</w:t>
      </w:r>
      <w:bookmarkEnd w:id="67"/>
      <w:bookmarkEnd w:id="68"/>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9" w:name="_Toc509844743"/>
      <w:bookmarkStart w:id="70" w:name="_Toc7445"/>
      <w:r>
        <w:rPr>
          <w:rFonts w:hint="eastAsia"/>
        </w:rPr>
        <w:t>入口与出口边界条件</w:t>
      </w:r>
      <w:bookmarkEnd w:id="69"/>
      <w:bookmarkEnd w:id="70"/>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1" w:name="地面粗糙度指数2"/>
      <w:r>
        <w:rPr>
          <w:rFonts w:hint="eastAsia"/>
          <w:lang w:val="en-US"/>
        </w:rPr>
        <w:t>0.22</w:t>
      </w:r>
      <w:bookmarkEnd w:id="71"/>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2" w:name="_Toc509844744"/>
      <w:bookmarkStart w:id="73" w:name="_Toc29226"/>
      <w:r>
        <w:rPr>
          <w:rFonts w:hint="eastAsia"/>
        </w:rPr>
        <w:t>壁面边界条件</w:t>
      </w:r>
      <w:bookmarkEnd w:id="72"/>
      <w:bookmarkEnd w:id="73"/>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4" w:name="_Toc24465"/>
      <w:r>
        <w:rPr>
          <w:rFonts w:hint="eastAsia"/>
        </w:rPr>
        <w:t>湍流模型</w:t>
      </w:r>
      <w:bookmarkEnd w:id="37"/>
      <w:bookmarkEnd w:id="38"/>
      <w:bookmarkEnd w:id="74"/>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5" w:name="_Toc451698939"/>
      <w:bookmarkStart w:id="76" w:name="_Toc452108767"/>
      <w:bookmarkStart w:id="77" w:name="_Toc28316"/>
      <w:r>
        <w:rPr>
          <w:rFonts w:hint="eastAsia"/>
        </w:rPr>
        <w:t>求解计算</w:t>
      </w:r>
      <w:bookmarkEnd w:id="75"/>
      <w:bookmarkEnd w:id="76"/>
      <w:bookmarkEnd w:id="77"/>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8"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8"/>
      <w:r>
        <w:rPr>
          <w:rFonts w:hint="eastAsia" w:ascii="黑体" w:hAnsi="黑体" w:eastAsia="黑体"/>
          <w:sz w:val="20"/>
          <w:szCs w:val="20"/>
        </w:rPr>
        <w:t xml:space="preserve"> </w:t>
      </w:r>
      <w:bookmarkStart w:id="79" w:name="_Ref225175618"/>
      <w:r>
        <w:rPr>
          <w:rFonts w:hint="eastAsia" w:ascii="黑体" w:hAnsi="黑体" w:eastAsia="黑体"/>
          <w:sz w:val="20"/>
          <w:szCs w:val="20"/>
        </w:rPr>
        <w:t>计算流体力学的控制方程</w:t>
      </w:r>
      <w:bookmarkEnd w:id="79"/>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80" w:name="_Toc509844747"/>
      <w:bookmarkStart w:id="81" w:name="_Toc9260"/>
      <w:r>
        <w:rPr>
          <w:rFonts w:hint="eastAsia"/>
        </w:rPr>
        <w:t>风速放大系数计算</w:t>
      </w:r>
      <w:bookmarkEnd w:id="80"/>
      <w:bookmarkEnd w:id="81"/>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2" w:name="地面粗糙度指数"/>
      <w:r>
        <w:rPr>
          <w:rFonts w:hint="eastAsia"/>
          <w:lang w:val="en-US"/>
        </w:rPr>
        <w:t>0.22</w:t>
      </w:r>
      <w:bookmarkEnd w:id="82"/>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3" w:name="_Toc452108768"/>
      <w:bookmarkStart w:id="84" w:name="_Toc14457"/>
      <w:r>
        <w:rPr>
          <w:rFonts w:hint="eastAsia"/>
        </w:rPr>
        <w:t>结果</w:t>
      </w:r>
      <w:r>
        <w:t>分析</w:t>
      </w:r>
      <w:bookmarkEnd w:id="83"/>
      <w:bookmarkEnd w:id="84"/>
    </w:p>
    <w:p>
      <w:pPr>
        <w:pStyle w:val="4"/>
        <w:rPr>
          <w:szCs w:val="21"/>
        </w:rPr>
      </w:pPr>
      <w:bookmarkStart w:id="85" w:name="_Toc16668"/>
      <w:r>
        <w:rPr>
          <w:rFonts w:hint="eastAsia"/>
          <w:szCs w:val="21"/>
        </w:rPr>
        <w:t>工况</w:t>
      </w:r>
      <w:r>
        <w:rPr>
          <w:szCs w:val="21"/>
        </w:rPr>
        <w:t>表</w:t>
      </w:r>
      <w:bookmarkEnd w:id="85"/>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6"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2.00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67.5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270.0</w:t>
            </w:r>
          </w:p>
        </w:tc>
      </w:tr>
      <w:bookmarkEnd w:id="86"/>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7" w:name="_Toc509844750"/>
      <w:bookmarkStart w:id="88" w:name="_Toc3902"/>
      <w:r>
        <w:rPr>
          <w:rFonts w:hint="eastAsia"/>
        </w:rPr>
        <w:t>冬季工况</w:t>
      </w:r>
      <w:bookmarkEnd w:id="87"/>
      <w:bookmarkEnd w:id="88"/>
    </w:p>
    <w:p>
      <w:pPr>
        <w:ind w:firstLine="420" w:firstLineChars="200"/>
        <w:jc w:val="both"/>
      </w:pPr>
      <w:r>
        <w:rPr>
          <w:rFonts w:hint="eastAsia"/>
          <w:lang w:val="en-US"/>
        </w:rPr>
        <w:t>本项目冬季工况的入口边界风速为</w:t>
      </w:r>
      <w:bookmarkStart w:id="89" w:name="冬季入口边界风速"/>
      <w:r>
        <w:rPr>
          <w:rFonts w:hint="eastAsia" w:ascii="Calibri" w:hAnsi="Calibri"/>
          <w:szCs w:val="21"/>
        </w:rPr>
        <w:t>2.00</w:t>
      </w:r>
      <w:bookmarkEnd w:id="89"/>
      <w:r>
        <w:rPr>
          <w:rFonts w:ascii="Calibri" w:hAnsi="Calibri"/>
          <w:szCs w:val="21"/>
        </w:rPr>
        <w:t>m/s</w:t>
      </w:r>
      <w:r>
        <w:rPr>
          <w:rFonts w:hint="eastAsia" w:ascii="Calibri" w:hAnsi="Calibri"/>
          <w:szCs w:val="21"/>
        </w:rPr>
        <w:t>，风向为</w:t>
      </w:r>
      <w:bookmarkStart w:id="90" w:name="冬季入口边界风向"/>
      <w:r>
        <w:rPr>
          <w:szCs w:val="21"/>
        </w:rPr>
        <w:t>NNE</w:t>
      </w:r>
      <w:bookmarkEnd w:id="90"/>
      <w:r>
        <w:rPr>
          <w:rFonts w:hint="eastAsia"/>
          <w:szCs w:val="21"/>
        </w:rPr>
        <w:t>。</w:t>
      </w:r>
    </w:p>
    <w:p>
      <w:pPr>
        <w:pStyle w:val="5"/>
      </w:pPr>
      <w:bookmarkStart w:id="91" w:name="_Toc509844751"/>
      <w:bookmarkStart w:id="92" w:name="_Toc2662"/>
      <w:r>
        <w:rPr>
          <w:rFonts w:hint="eastAsia"/>
        </w:rPr>
        <w:t>人行区域风速达标分析</w:t>
      </w:r>
      <w:bookmarkEnd w:id="91"/>
      <w:bookmarkEnd w:id="92"/>
      <w:r>
        <w:rPr>
          <w:rFonts w:hint="eastAsia"/>
        </w:rPr>
        <w:t xml:space="preserve"> </w:t>
      </w:r>
    </w:p>
    <w:p>
      <w:pPr>
        <w:pStyle w:val="3"/>
        <w:ind w:left="420" w:firstLine="0" w:firstLineChars="0"/>
        <w:rPr>
          <w:lang w:val="en-US"/>
        </w:rPr>
      </w:pPr>
      <w:bookmarkStart w:id="93" w:name="冬季工况人行区风速分析"/>
      <w:r>
        <w:rPr>
          <w:rFonts w:hint="eastAsia"/>
          <w:lang w:val="en-US"/>
        </w:rPr>
        <w:t>（本项目未划分人行区域）</w:t>
      </w:r>
    </w:p>
    <w:bookmarkEnd w:id="93"/>
    <w:p>
      <w:pPr>
        <w:pStyle w:val="3"/>
        <w:ind w:firstLine="420"/>
        <w:rPr>
          <w:lang w:val="en-US"/>
        </w:rPr>
      </w:pPr>
    </w:p>
    <w:p>
      <w:pPr>
        <w:pStyle w:val="5"/>
      </w:pPr>
      <w:bookmarkStart w:id="94" w:name="_Toc509844752"/>
      <w:bookmarkStart w:id="95" w:name="_Toc20279"/>
      <w:r>
        <w:rPr>
          <w:rFonts w:hint="eastAsia"/>
        </w:rPr>
        <w:t>人行区域风速放大系数达标分析</w:t>
      </w:r>
      <w:bookmarkEnd w:id="94"/>
      <w:bookmarkEnd w:id="95"/>
    </w:p>
    <w:p>
      <w:pPr>
        <w:pStyle w:val="3"/>
        <w:ind w:firstLine="420"/>
        <w:rPr>
          <w:lang w:val="en-US"/>
        </w:rPr>
      </w:pPr>
      <w:bookmarkStart w:id="96" w:name="冬季工况人行区风速放大系数分析"/>
      <w:r>
        <w:rPr>
          <w:rFonts w:hint="eastAsia"/>
          <w:lang w:val="en-US"/>
        </w:rPr>
        <w:t>（本项目未划分人行区域）</w:t>
      </w:r>
    </w:p>
    <w:bookmarkEnd w:id="96"/>
    <w:p>
      <w:pPr>
        <w:pStyle w:val="3"/>
        <w:ind w:firstLine="420"/>
        <w:rPr>
          <w:lang w:val="en-US"/>
        </w:rPr>
      </w:pPr>
    </w:p>
    <w:p>
      <w:pPr>
        <w:pStyle w:val="5"/>
      </w:pPr>
      <w:bookmarkStart w:id="97" w:name="_Toc26905"/>
      <w:r>
        <w:rPr>
          <w:rFonts w:hint="eastAsia"/>
        </w:rPr>
        <w:t>户外休息区、儿童娱乐区</w:t>
      </w:r>
      <w:r>
        <w:t>域风速达标分析</w:t>
      </w:r>
      <w:bookmarkEnd w:id="97"/>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8" w:name="冬季工况休息区风速分析结论"/>
      <w:bookmarkEnd w:id="98"/>
      <w:r>
        <w:rPr>
          <w:lang w:val="en-US"/>
        </w:rPr>
        <w:t>未标示出超标区域，可知户外休息区、儿童娱乐区风速小于2m/s，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9" w:name="冬季工况休息区风速云图"/>
      <w:bookmarkEnd w:id="99"/>
      <w:r>
        <w:drawing>
          <wp:inline distT="0" distB="0" distL="0" distR="0">
            <wp:extent cx="5667375" cy="26193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2"/>
                    <a:stretch>
                      <a:fillRect/>
                    </a:stretch>
                  </pic:blipFill>
                  <pic:spPr>
                    <a:xfrm>
                      <a:off x="0" y="0"/>
                      <a:ext cx="5667375" cy="2619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100" w:name="_Toc228"/>
      <w:r>
        <w:rPr>
          <w:rFonts w:hint="eastAsia"/>
        </w:rPr>
        <w:t>户外休息区、儿童娱乐区风速放大系数达标</w:t>
      </w:r>
      <w:r>
        <w:t>分析</w:t>
      </w:r>
      <w:bookmarkEnd w:id="100"/>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101" w:name="冬季工况户外休息区和儿童娱乐区风速放大系数分析结论"/>
      <w:bookmarkEnd w:id="101"/>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102" w:name="冬季工况户外休息区和儿童娱乐区风速放大系数云图"/>
      <w:bookmarkEnd w:id="102"/>
      <w:r>
        <w:drawing>
          <wp:inline distT="0" distB="0" distL="0" distR="0">
            <wp:extent cx="5667375" cy="25717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3"/>
                    <a:stretch>
                      <a:fillRect/>
                    </a:stretch>
                  </pic:blipFill>
                  <pic:spPr>
                    <a:xfrm>
                      <a:off x="0" y="0"/>
                      <a:ext cx="5667375" cy="25717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3" w:name="_Toc509844753"/>
      <w:bookmarkStart w:id="104" w:name="_Toc28125"/>
      <w:r>
        <w:rPr>
          <w:rFonts w:hint="eastAsia"/>
        </w:rPr>
        <w:t>冬季工况风速/风速放大系数达标</w:t>
      </w:r>
      <w:bookmarkEnd w:id="103"/>
      <w:r>
        <w:rPr>
          <w:rFonts w:hint="eastAsia"/>
        </w:rPr>
        <w:t>结果汇总</w:t>
      </w:r>
      <w:bookmarkEnd w:id="10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5" w:name="冬季工况风速是否有超限区域"/>
            <w:r>
              <w:rPr>
                <w:rFonts w:hint="eastAsia" w:ascii="宋体" w:hAnsi="宋体" w:cs="宋体"/>
                <w:color w:val="000000"/>
                <w:sz w:val="22"/>
                <w:szCs w:val="22"/>
                <w:lang w:val="en-US"/>
              </w:rPr>
              <w:t>/</w:t>
            </w:r>
            <w:bookmarkEnd w:id="105"/>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6" w:name="冬季工况风速达标判断"/>
            <w:r>
              <w:rPr>
                <w:rFonts w:hint="eastAsia" w:ascii="宋体" w:hAnsi="宋体" w:cs="宋体"/>
                <w:color w:val="000000"/>
                <w:sz w:val="22"/>
                <w:szCs w:val="22"/>
                <w:lang w:val="en-US"/>
              </w:rPr>
              <w:t>/</w:t>
            </w:r>
            <w:bookmarkEnd w:id="106"/>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风速放大系数是否有超限区域"/>
            <w:r>
              <w:rPr>
                <w:rFonts w:hint="eastAsia" w:ascii="宋体" w:hAnsi="宋体" w:cs="宋体"/>
                <w:color w:val="000000"/>
                <w:sz w:val="22"/>
                <w:szCs w:val="22"/>
                <w:lang w:val="en-US"/>
              </w:rPr>
              <w:t>/</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风速放大系数达标判断"/>
            <w:r>
              <w:rPr>
                <w:rFonts w:hint="eastAsia" w:ascii="宋体" w:hAnsi="宋体" w:cs="宋体"/>
                <w:color w:val="000000"/>
                <w:sz w:val="22"/>
                <w:szCs w:val="22"/>
                <w:lang w:val="en-US"/>
              </w:rPr>
              <w:t>/</w:t>
            </w:r>
            <w:bookmarkEnd w:id="108"/>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休息区风速是否有超限区域"/>
            <w:r>
              <w:rPr>
                <w:rFonts w:hint="eastAsia" w:ascii="宋体" w:hAnsi="宋体" w:cs="宋体"/>
                <w:color w:val="000000"/>
                <w:sz w:val="22"/>
                <w:szCs w:val="22"/>
                <w:lang w:val="en-US"/>
              </w:rPr>
              <w:t>否</w:t>
            </w:r>
            <w:bookmarkEnd w:id="109"/>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休息区风速达标判断"/>
            <w:r>
              <w:rPr>
                <w:rFonts w:hint="eastAsia" w:ascii="宋体" w:hAnsi="宋体" w:cs="宋体"/>
                <w:color w:val="000000"/>
                <w:sz w:val="22"/>
                <w:szCs w:val="22"/>
                <w:lang w:val="en-US"/>
              </w:rPr>
              <w:t>是</w:t>
            </w:r>
            <w:bookmarkEnd w:id="110"/>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11" w:name="冬季工况休息区和儿童娱乐区风速放大系数标准要求限值"/>
            <w:r>
              <w:rPr>
                <w:rFonts w:ascii="宋体" w:hAnsi="宋体" w:cs="宋体"/>
                <w:szCs w:val="21"/>
              </w:rPr>
              <w:t>2</w:t>
            </w:r>
            <w:bookmarkEnd w:id="111"/>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2" w:name="冬季工况户外休息区风速放大系数是否有超限区域"/>
            <w:r>
              <w:rPr>
                <w:rFonts w:hint="eastAsia" w:ascii="宋体" w:hAnsi="宋体" w:cs="宋体"/>
                <w:color w:val="000000"/>
                <w:sz w:val="22"/>
                <w:szCs w:val="22"/>
                <w:lang w:val="en-US"/>
              </w:rPr>
              <w:t>否</w:t>
            </w:r>
            <w:bookmarkEnd w:id="112"/>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3" w:name="冬季工况户外休息区风速放大系数达标判断"/>
            <w:r>
              <w:rPr>
                <w:rFonts w:hint="eastAsia" w:ascii="宋体" w:hAnsi="宋体" w:cs="宋体"/>
                <w:color w:val="000000"/>
                <w:sz w:val="22"/>
                <w:szCs w:val="22"/>
                <w:lang w:val="en-US"/>
              </w:rPr>
              <w:t>是</w:t>
            </w:r>
            <w:bookmarkEnd w:id="113"/>
          </w:p>
        </w:tc>
      </w:tr>
    </w:tbl>
    <w:p/>
    <w:p>
      <w:pPr>
        <w:pStyle w:val="5"/>
      </w:pPr>
      <w:bookmarkStart w:id="114" w:name="_Toc7119"/>
      <w:r>
        <w:rPr>
          <w:rFonts w:hint="eastAsia"/>
        </w:rPr>
        <w:t>建筑迎风面和背风面风压分析</w:t>
      </w:r>
      <w:bookmarkEnd w:id="114"/>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5" w:name="冬季工况建筑迎风面风压云图"/>
      <w:bookmarkEnd w:id="115"/>
      <w:r>
        <w:drawing>
          <wp:inline distT="0" distB="0" distL="0" distR="0">
            <wp:extent cx="5667375" cy="2790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5"/>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6" w:name="冬季工况建筑背风面风压云图"/>
      <w:bookmarkEnd w:id="116"/>
      <w:r>
        <w:drawing>
          <wp:inline distT="0" distB="0" distL="0" distR="0">
            <wp:extent cx="5667375" cy="28194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6"/>
                    <a:stretch>
                      <a:fillRect/>
                    </a:stretch>
                  </pic:blipFill>
                  <pic:spPr>
                    <a:xfrm>
                      <a:off x="0" y="0"/>
                      <a:ext cx="5667375" cy="28194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7" w:name="建筑迎风面和背风面风压差计算结果"/>
      <w:r>
        <w:rPr>
          <w:rFonts w:hint="eastAsia"/>
        </w:rPr>
        <w:t>建筑迎风面和背风面风压差计算结果</w:t>
      </w:r>
    </w:p>
    <w:p>
      <w:pPr>
        <w:jc w:val="center"/>
        <w:rPr>
          <w:rFonts w:ascii="Cambria" w:hAnsi="Cambria" w:eastAsia="黑体"/>
          <w:sz w:val="20"/>
        </w:rPr>
      </w:pPr>
      <w:bookmarkStart w:id="118"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9" w:name="建筑迎背风面风压差表_建筑名"/>
      <w:r>
        <w:rPr>
          <w:rFonts w:ascii="Cambria" w:hAnsi="Cambria" w:eastAsia="黑体"/>
          <w:sz w:val="20"/>
        </w:rPr>
        <w:t>教学楼(教学楼建筑平面_T8)</w:t>
      </w:r>
      <w:bookmarkEnd w:id="119"/>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0.84</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-0.90</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1.74</w:t>
            </w:r>
          </w:p>
        </w:tc>
      </w:tr>
      <w:bookmarkEnd w:id="118"/>
    </w:tbl>
    <w:p>
      <w:bookmarkStart w:id="120" w:name="结论"/>
      <w:bookmarkEnd w:id="120"/>
      <w:r>
        <w:t>标准要求：迎背风面窗平均风压差（绝对值）≤5Pa。结论：该楼</w:t>
      </w:r>
      <w:r>
        <w:rPr>
          <w:b/>
          <w:color w:val="0000FF"/>
        </w:rPr>
        <w:t>达标</w:t>
      </w:r>
      <w:r>
        <w:t>。</w:t>
      </w:r>
    </w:p>
    <w:bookmarkEnd w:id="117"/>
    <w:p>
      <w:pPr>
        <w:jc w:val="center"/>
        <w:rPr>
          <w:rFonts w:ascii="Cambria" w:hAnsi="Cambria" w:eastAsia="黑体"/>
          <w:sz w:val="20"/>
        </w:rPr>
      </w:pPr>
      <w:bookmarkStart w:id="121" w:name="建筑迎背风面风压差表_新增"/>
      <w:bookmarkEnd w:id="121"/>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22"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教学楼(教学楼建筑平面_T8)</w:t>
            </w:r>
          </w:p>
        </w:tc>
        <w:tc>
          <w:tcPr>
            <w:tcW w:w="1276" w:type="dxa"/>
            <w:shd w:val="clear" w:color="auto" w:fill="auto"/>
            <w:vAlign w:val="center"/>
          </w:tcPr>
          <w:p>
            <w:pPr>
              <w:jc w:val="center"/>
              <w:rPr>
                <w:lang w:val="en-US"/>
              </w:rPr>
            </w:pPr>
            <w:r>
              <w:rPr>
                <w:lang w:val="en-US"/>
              </w:rPr>
              <w:t>0.84</w:t>
            </w:r>
          </w:p>
        </w:tc>
        <w:tc>
          <w:tcPr>
            <w:tcW w:w="1276" w:type="dxa"/>
            <w:shd w:val="clear" w:color="auto" w:fill="auto"/>
            <w:vAlign w:val="center"/>
          </w:tcPr>
          <w:p>
            <w:pPr>
              <w:jc w:val="center"/>
              <w:rPr>
                <w:lang w:val="en-US"/>
              </w:rPr>
            </w:pPr>
            <w:r>
              <w:rPr>
                <w:lang w:val="en-US"/>
              </w:rPr>
              <w:t>-0.90</w:t>
            </w:r>
          </w:p>
        </w:tc>
        <w:tc>
          <w:tcPr>
            <w:tcW w:w="1701" w:type="dxa"/>
            <w:shd w:val="clear" w:color="auto" w:fill="auto"/>
            <w:vAlign w:val="center"/>
          </w:tcPr>
          <w:p>
            <w:pPr>
              <w:jc w:val="center"/>
              <w:rPr>
                <w:lang w:val="en-US"/>
              </w:rPr>
            </w:pPr>
            <w:r>
              <w:rPr>
                <w:lang w:val="en-US"/>
              </w:rPr>
              <w:t>1.74</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门卫</w:t>
            </w:r>
          </w:p>
        </w:tc>
        <w:tc>
          <w:tcPr>
            <w:tcW w:w="1276" w:type="dxa"/>
            <w:shd w:val="clear" w:color="auto" w:fill="auto"/>
            <w:vAlign w:val="center"/>
          </w:tcPr>
          <w:p>
            <w:pPr>
              <w:jc w:val="center"/>
              <w:rPr>
                <w:lang w:val="en-US"/>
              </w:rPr>
            </w:pPr>
            <w:r>
              <w:rPr>
                <w:lang w:val="en-US"/>
              </w:rPr>
              <w:t>-0.51</w:t>
            </w:r>
          </w:p>
        </w:tc>
        <w:tc>
          <w:tcPr>
            <w:tcW w:w="1276" w:type="dxa"/>
            <w:shd w:val="clear" w:color="auto" w:fill="auto"/>
            <w:vAlign w:val="center"/>
          </w:tcPr>
          <w:p>
            <w:pPr>
              <w:jc w:val="center"/>
              <w:rPr>
                <w:lang w:val="en-US"/>
              </w:rPr>
            </w:pPr>
            <w:r>
              <w:rPr>
                <w:lang w:val="en-US"/>
              </w:rPr>
              <w:t>-1.21</w:t>
            </w:r>
          </w:p>
        </w:tc>
        <w:tc>
          <w:tcPr>
            <w:tcW w:w="1701" w:type="dxa"/>
            <w:shd w:val="clear" w:color="auto" w:fill="auto"/>
            <w:vAlign w:val="center"/>
          </w:tcPr>
          <w:p>
            <w:pPr>
              <w:jc w:val="center"/>
              <w:rPr>
                <w:lang w:val="en-US"/>
              </w:rPr>
            </w:pPr>
            <w:r>
              <w:rPr>
                <w:lang w:val="en-US"/>
              </w:rPr>
              <w:t>0.70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水泵房</w:t>
            </w:r>
          </w:p>
        </w:tc>
        <w:tc>
          <w:tcPr>
            <w:tcW w:w="1276" w:type="dxa"/>
            <w:shd w:val="clear" w:color="auto" w:fill="auto"/>
            <w:vAlign w:val="center"/>
          </w:tcPr>
          <w:p>
            <w:pPr>
              <w:jc w:val="center"/>
              <w:rPr>
                <w:lang w:val="en-US"/>
              </w:rPr>
            </w:pPr>
            <w:r>
              <w:rPr>
                <w:lang w:val="en-US"/>
              </w:rPr>
              <w:t>-0.78</w:t>
            </w:r>
          </w:p>
        </w:tc>
        <w:tc>
          <w:tcPr>
            <w:tcW w:w="1276" w:type="dxa"/>
            <w:shd w:val="clear" w:color="auto" w:fill="auto"/>
            <w:vAlign w:val="center"/>
          </w:tcPr>
          <w:p>
            <w:pPr>
              <w:jc w:val="center"/>
              <w:rPr>
                <w:lang w:val="en-US"/>
              </w:rPr>
            </w:pPr>
            <w:r>
              <w:rPr>
                <w:lang w:val="en-US"/>
              </w:rPr>
              <w:t>-1.07</w:t>
            </w:r>
          </w:p>
        </w:tc>
        <w:tc>
          <w:tcPr>
            <w:tcW w:w="1701" w:type="dxa"/>
            <w:shd w:val="clear" w:color="auto" w:fill="auto"/>
            <w:vAlign w:val="center"/>
          </w:tcPr>
          <w:p>
            <w:pPr>
              <w:jc w:val="center"/>
              <w:rPr>
                <w:lang w:val="en-US"/>
              </w:rPr>
            </w:pPr>
            <w:r>
              <w:rPr>
                <w:lang w:val="en-US"/>
              </w:rPr>
              <w:t>0.29</w:t>
            </w:r>
          </w:p>
        </w:tc>
        <w:tc>
          <w:tcPr>
            <w:tcW w:w="973" w:type="dxa"/>
            <w:shd w:val="clear" w:color="auto" w:fill="auto"/>
            <w:vAlign w:val="center"/>
          </w:tcPr>
          <w:p>
            <w:pPr>
              <w:jc w:val="center"/>
              <w:rPr>
                <w:lang w:val="en-US"/>
              </w:rPr>
            </w:pPr>
            <w:r>
              <w:rPr>
                <w:lang w:val="en-US"/>
              </w:rPr>
              <w:t>是</w:t>
            </w:r>
          </w:p>
        </w:tc>
      </w:tr>
      <w:bookmarkEnd w:id="122"/>
    </w:tbl>
    <w:p>
      <w:pPr>
        <w:rPr>
          <w:lang w:val="en-US"/>
        </w:rPr>
      </w:pPr>
      <w:bookmarkStart w:id="123" w:name="建筑迎风和背风面风压差结论汇总结论"/>
      <w:bookmarkEnd w:id="123"/>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24" w:name="冬季工况"/>
      <w:bookmarkEnd w:id="124"/>
      <w:r>
        <w:rPr>
          <w:rFonts w:hint="eastAsia"/>
          <w:lang w:val="en-US"/>
        </w:rPr>
        <w:t xml:space="preserve"> </w:t>
      </w:r>
    </w:p>
    <w:p>
      <w:pPr>
        <w:pStyle w:val="4"/>
      </w:pPr>
      <w:bookmarkStart w:id="125" w:name="_Toc509844759"/>
      <w:bookmarkStart w:id="126" w:name="_Toc15764"/>
      <w:r>
        <w:rPr>
          <w:rFonts w:hint="eastAsia"/>
        </w:rPr>
        <w:t>夏季工况</w:t>
      </w:r>
      <w:bookmarkEnd w:id="125"/>
      <w:bookmarkEnd w:id="126"/>
    </w:p>
    <w:p>
      <w:pPr>
        <w:pStyle w:val="3"/>
        <w:ind w:firstLine="420"/>
      </w:pPr>
      <w:r>
        <w:rPr>
          <w:rFonts w:hint="eastAsia"/>
          <w:lang w:val="en-US"/>
        </w:rPr>
        <w:t>本项目夏季工况的入口边界风速为</w:t>
      </w:r>
      <w:bookmarkStart w:id="127" w:name="入口边界风速"/>
      <w:r>
        <w:rPr>
          <w:rFonts w:hint="eastAsia"/>
          <w:lang w:val="en-US"/>
        </w:rPr>
        <w:t>2.60</w:t>
      </w:r>
      <w:bookmarkEnd w:id="127"/>
      <w:r>
        <w:rPr>
          <w:rFonts w:hint="eastAsia"/>
          <w:lang w:val="en-US"/>
        </w:rPr>
        <w:t>m/s，风向为</w:t>
      </w:r>
      <w:bookmarkStart w:id="128" w:name="入口边界风向"/>
      <w:r>
        <w:t>S</w:t>
      </w:r>
      <w:bookmarkEnd w:id="128"/>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29" w:name="季节4"/>
      <w:r>
        <w:rPr>
          <w:rFonts w:hint="eastAsia"/>
          <w:lang w:val="en-US"/>
        </w:rPr>
        <w:t>夏季</w:t>
      </w:r>
      <w:bookmarkEnd w:id="129"/>
      <w:r>
        <w:rPr>
          <w:rFonts w:hint="eastAsia"/>
          <w:lang w:val="en-US"/>
        </w:rPr>
        <w:t>形成有效的巷道风，优化街区自然通风环境，避免</w:t>
      </w:r>
      <w:bookmarkStart w:id="130" w:name="季节5"/>
      <w:r>
        <w:rPr>
          <w:rFonts w:hint="eastAsia"/>
          <w:lang w:val="en-US"/>
        </w:rPr>
        <w:t>夏季</w:t>
      </w:r>
      <w:bookmarkEnd w:id="130"/>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31" w:name="_Toc509844760"/>
      <w:bookmarkStart w:id="132" w:name="_Toc30440"/>
      <w:r>
        <w:rPr>
          <w:rFonts w:hint="eastAsia"/>
        </w:rPr>
        <w:t>人活动区域无风区计算分析</w:t>
      </w:r>
      <w:bookmarkEnd w:id="131"/>
      <w:bookmarkEnd w:id="132"/>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33" w:name="人活动区风速分析结论"/>
      <w:bookmarkEnd w:id="133"/>
      <w:r>
        <w:t>黑色等值线内的人活动区域风速</w:t>
      </w:r>
      <w:r>
        <w:rPr>
          <w:color w:val="FF0000"/>
        </w:rPr>
        <w:t>小于</w:t>
      </w:r>
      <w:r>
        <w:t>0.2m/s，因此</w:t>
      </w:r>
      <w:r>
        <w:rPr>
          <w:color w:val="FF0000"/>
        </w:rPr>
        <w:t>未满足</w:t>
      </w:r>
      <w:r>
        <w:t>绿标要求，需调整建筑布局优化人行区风速分布。</w:t>
      </w:r>
    </w:p>
    <w:p>
      <w:pPr>
        <w:pStyle w:val="3"/>
        <w:spacing w:after="156" w:afterLines="50"/>
        <w:ind w:firstLine="0" w:firstLineChars="0"/>
        <w:jc w:val="center"/>
      </w:pPr>
      <w:bookmarkStart w:id="134" w:name="人行区风速云图"/>
      <w:bookmarkEnd w:id="134"/>
      <w:r>
        <w:drawing>
          <wp:inline distT="0" distB="0" distL="0" distR="0">
            <wp:extent cx="5667375" cy="2619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7"/>
                    <a:stretch>
                      <a:fillRect/>
                    </a:stretch>
                  </pic:blipFill>
                  <pic:spPr>
                    <a:xfrm>
                      <a:off x="0" y="0"/>
                      <a:ext cx="5667375" cy="26193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135" w:name="季节6"/>
      <w:r>
        <w:rPr>
          <w:rFonts w:hint="eastAsia" w:ascii="黑体" w:hAnsi="黑体" w:eastAsia="黑体"/>
          <w:sz w:val="20"/>
          <w:szCs w:val="20"/>
        </w:rPr>
        <w:t>夏季</w:t>
      </w:r>
      <w:bookmarkEnd w:id="135"/>
      <w:r>
        <w:rPr>
          <w:rFonts w:hint="eastAsia"/>
        </w:rPr>
        <w:t xml:space="preserve"> </w:t>
      </w:r>
    </w:p>
    <w:p>
      <w:pPr>
        <w:pStyle w:val="3"/>
        <w:ind w:firstLine="420"/>
      </w:pPr>
    </w:p>
    <w:p>
      <w:pPr>
        <w:pStyle w:val="5"/>
      </w:pPr>
      <w:bookmarkStart w:id="136" w:name="_Toc509844761"/>
      <w:bookmarkStart w:id="137" w:name="_Toc19123"/>
      <w:r>
        <w:rPr>
          <w:rFonts w:hint="eastAsia"/>
        </w:rPr>
        <w:t>人活动区域旋涡区分析</w:t>
      </w:r>
      <w:bookmarkEnd w:id="136"/>
      <w:bookmarkEnd w:id="137"/>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138" w:name="人行区风速矢量图"/>
      <w:bookmarkEnd w:id="138"/>
      <w:r>
        <w:drawing>
          <wp:inline distT="0" distB="0" distL="0" distR="0">
            <wp:extent cx="5667375" cy="2971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8"/>
                    <a:stretch>
                      <a:fillRect/>
                    </a:stretch>
                  </pic:blipFill>
                  <pic:spPr>
                    <a:xfrm>
                      <a:off x="0" y="0"/>
                      <a:ext cx="5667375" cy="29718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39" w:name="_Toc509844762"/>
      <w:bookmarkStart w:id="140" w:name="_Toc31983"/>
      <w:r>
        <w:rPr>
          <w:rFonts w:hint="eastAsia"/>
        </w:rPr>
        <w:t>人活动区域旋涡区/无风区达标</w:t>
      </w:r>
      <w:bookmarkEnd w:id="139"/>
      <w:r>
        <w:rPr>
          <w:rFonts w:hint="eastAsia"/>
        </w:rPr>
        <w:t>结果汇总</w:t>
      </w:r>
      <w:bookmarkEnd w:id="14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41" w:name="季节8"/>
      <w:r>
        <w:rPr>
          <w:rFonts w:hint="eastAsia" w:ascii="黑体" w:hAnsi="黑体" w:eastAsia="黑体"/>
          <w:sz w:val="20"/>
          <w:szCs w:val="20"/>
        </w:rPr>
        <w:t>夏季</w:t>
      </w:r>
      <w:bookmarkEnd w:id="141"/>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2" w:name="是否有无风区"/>
            <w:r>
              <w:rPr>
                <w:rFonts w:hint="eastAsia" w:ascii="宋体" w:hAnsi="宋体" w:cs="宋体"/>
                <w:color w:val="FF0000"/>
                <w:sz w:val="22"/>
                <w:szCs w:val="22"/>
                <w:lang w:val="en-US"/>
              </w:rPr>
              <w:t>是</w:t>
            </w:r>
            <w:bookmarkEnd w:id="14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3" w:name="无风区达标判断"/>
            <w:r>
              <w:rPr>
                <w:rFonts w:hint="eastAsia" w:ascii="宋体" w:hAnsi="宋体" w:cs="宋体"/>
                <w:color w:val="FF0000"/>
                <w:sz w:val="22"/>
                <w:szCs w:val="22"/>
                <w:lang w:val="en-US"/>
              </w:rPr>
              <w:t>否</w:t>
            </w:r>
            <w:bookmarkEnd w:id="143"/>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4" w:name="是否有旋涡区"/>
            <w:r>
              <w:rPr>
                <w:rFonts w:ascii="宋体" w:hAnsi="宋体" w:cs="宋体"/>
                <w:color w:val="000000"/>
                <w:sz w:val="22"/>
                <w:szCs w:val="22"/>
                <w:lang w:val="en-US"/>
              </w:rPr>
              <w:t>否</w:t>
            </w:r>
            <w:bookmarkEnd w:id="144"/>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5" w:name="旋涡区达标判断"/>
            <w:r>
              <w:rPr>
                <w:rFonts w:ascii="宋体" w:hAnsi="宋体" w:cs="宋体"/>
                <w:color w:val="000000"/>
                <w:sz w:val="22"/>
                <w:szCs w:val="22"/>
                <w:lang w:val="en-US"/>
              </w:rPr>
              <w:t>是</w:t>
            </w:r>
            <w:bookmarkEnd w:id="145"/>
          </w:p>
        </w:tc>
      </w:tr>
    </w:tbl>
    <w:p>
      <w:pPr>
        <w:pStyle w:val="5"/>
      </w:pPr>
      <w:bookmarkStart w:id="146" w:name="_Toc504501018"/>
      <w:bookmarkStart w:id="147" w:name="_Toc509844763"/>
      <w:bookmarkStart w:id="148" w:name="_Toc5781"/>
      <w:r>
        <w:rPr>
          <w:rFonts w:hint="eastAsia"/>
        </w:rPr>
        <w:t>外窗内外表面风压</w:t>
      </w:r>
      <w:bookmarkEnd w:id="146"/>
      <w:r>
        <w:rPr>
          <w:rFonts w:hint="eastAsia"/>
        </w:rPr>
        <w:t>差达标分析</w:t>
      </w:r>
      <w:bookmarkEnd w:id="147"/>
      <w:bookmarkEnd w:id="148"/>
    </w:p>
    <w:p>
      <w:pPr>
        <w:pStyle w:val="3"/>
        <w:ind w:firstLine="420"/>
      </w:pPr>
      <w:r>
        <w:rPr>
          <w:rFonts w:hint="eastAsia"/>
          <w:lang w:val="en-US"/>
        </w:rPr>
        <w:t>分析《绿色建筑评价标准》，</w:t>
      </w:r>
      <w:bookmarkStart w:id="149" w:name="季节9"/>
      <w:r>
        <w:rPr>
          <w:rFonts w:hint="eastAsia"/>
          <w:lang w:val="en-US"/>
        </w:rPr>
        <w:t>夏季</w:t>
      </w:r>
      <w:bookmarkEnd w:id="149"/>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50" w:name="迎风面风压云图"/>
      <w:bookmarkEnd w:id="150"/>
      <w:r>
        <w:drawing>
          <wp:inline distT="0" distB="0" distL="0" distR="0">
            <wp:extent cx="5667375" cy="27908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9"/>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51" w:name="季节10"/>
      <w:r>
        <w:rPr>
          <w:rFonts w:hint="eastAsia" w:ascii="黑体" w:hAnsi="黑体" w:eastAsia="黑体"/>
          <w:sz w:val="20"/>
          <w:szCs w:val="20"/>
        </w:rPr>
        <w:t>夏季</w:t>
      </w:r>
      <w:bookmarkEnd w:id="151"/>
    </w:p>
    <w:p>
      <w:pPr>
        <w:pStyle w:val="13"/>
        <w:jc w:val="center"/>
      </w:pPr>
      <w:bookmarkStart w:id="152" w:name="背风面风压云图"/>
      <w:bookmarkEnd w:id="152"/>
      <w:r>
        <w:drawing>
          <wp:inline distT="0" distB="0" distL="0" distR="0">
            <wp:extent cx="5667375" cy="28194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80"/>
                    <a:stretch>
                      <a:fillRect/>
                    </a:stretch>
                  </pic:blipFill>
                  <pic:spPr>
                    <a:xfrm>
                      <a:off x="0" y="0"/>
                      <a:ext cx="5667375" cy="28194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3" w:name="季节11"/>
      <w:r>
        <w:rPr>
          <w:rFonts w:hint="eastAsia" w:ascii="黑体" w:hAnsi="黑体" w:eastAsia="黑体"/>
          <w:sz w:val="20"/>
          <w:szCs w:val="20"/>
        </w:rPr>
        <w:t>夏季</w:t>
      </w:r>
      <w:bookmarkEnd w:id="153"/>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4"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教学楼(教学楼建筑平面_T8)</w:t>
            </w:r>
          </w:p>
        </w:tc>
        <w:tc>
          <w:tcPr>
            <w:tcW w:w="1134" w:type="dxa"/>
            <w:shd w:val="clear" w:color="auto" w:fill="auto"/>
            <w:vAlign w:val="center"/>
          </w:tcPr>
          <w:p>
            <w:pPr>
              <w:jc w:val="center"/>
              <w:rPr>
                <w:lang w:val="en-US"/>
              </w:rPr>
            </w:pPr>
            <w:r>
              <w:rPr>
                <w:lang w:val="en-US"/>
              </w:rPr>
              <w:t>103</w:t>
            </w:r>
          </w:p>
        </w:tc>
        <w:tc>
          <w:tcPr>
            <w:tcW w:w="1984" w:type="dxa"/>
            <w:shd w:val="clear" w:color="auto" w:fill="auto"/>
            <w:vAlign w:val="center"/>
          </w:tcPr>
          <w:p>
            <w:pPr>
              <w:jc w:val="center"/>
              <w:rPr>
                <w:lang w:val="en-US"/>
              </w:rPr>
            </w:pPr>
            <w:r>
              <w:rPr>
                <w:lang w:val="en-US"/>
              </w:rPr>
              <w:t>97</w:t>
            </w:r>
          </w:p>
        </w:tc>
        <w:tc>
          <w:tcPr>
            <w:tcW w:w="1116" w:type="dxa"/>
            <w:shd w:val="clear" w:color="auto" w:fill="auto"/>
            <w:vAlign w:val="center"/>
          </w:tcPr>
          <w:p>
            <w:pPr>
              <w:jc w:val="center"/>
              <w:rPr>
                <w:lang w:val="en-US"/>
              </w:rPr>
            </w:pPr>
            <w:r>
              <w:rPr>
                <w:lang w:val="en-US"/>
              </w:rPr>
              <w:t>94.17</w:t>
            </w:r>
          </w:p>
        </w:tc>
        <w:tc>
          <w:tcPr>
            <w:tcW w:w="708" w:type="dxa"/>
            <w:shd w:val="clear" w:color="auto" w:fill="auto"/>
            <w:vAlign w:val="center"/>
          </w:tcPr>
          <w:p>
            <w:pPr>
              <w:jc w:val="center"/>
              <w:rPr>
                <w:lang w:val="en-US"/>
              </w:rPr>
            </w:pPr>
            <w:r>
              <w:rPr>
                <w:lang w:val="en-US"/>
              </w:rPr>
              <w:t>是</w:t>
            </w:r>
          </w:p>
        </w:tc>
      </w:tr>
      <w:bookmarkEnd w:id="154"/>
    </w:tbl>
    <w:p>
      <w:r>
        <w:rPr>
          <w:rFonts w:hint="eastAsia"/>
          <w:lang w:val="en-US"/>
        </w:rPr>
        <w:t>说明：达标比例＝（室内外风压差大于0.5Pa的总数/可开启外窗总数）*100％</w:t>
      </w:r>
    </w:p>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55"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门卫</w:t>
            </w:r>
          </w:p>
        </w:tc>
        <w:tc>
          <w:tcPr>
            <w:tcW w:w="1417" w:type="dxa"/>
            <w:vAlign w:val="center"/>
          </w:tcPr>
          <w:p>
            <w:pPr>
              <w:spacing w:line="360" w:lineRule="exact"/>
              <w:jc w:val="center"/>
              <w:rPr>
                <w:lang w:val="en-US"/>
              </w:rPr>
            </w:pPr>
            <w:r>
              <w:rPr>
                <w:lang w:val="en-US"/>
              </w:rPr>
              <w:t>71.01</w:t>
            </w:r>
          </w:p>
        </w:tc>
        <w:tc>
          <w:tcPr>
            <w:tcW w:w="2552" w:type="dxa"/>
            <w:vAlign w:val="center"/>
          </w:tcPr>
          <w:p>
            <w:pPr>
              <w:spacing w:line="360" w:lineRule="exact"/>
              <w:jc w:val="center"/>
              <w:rPr>
                <w:lang w:val="en-US"/>
              </w:rPr>
            </w:pPr>
            <w:r>
              <w:rPr>
                <w:lang w:val="en-US"/>
              </w:rPr>
              <w:t>5.64</w:t>
            </w:r>
          </w:p>
        </w:tc>
        <w:tc>
          <w:tcPr>
            <w:tcW w:w="1134" w:type="dxa"/>
            <w:vAlign w:val="center"/>
          </w:tcPr>
          <w:p>
            <w:pPr>
              <w:spacing w:line="360" w:lineRule="exact"/>
              <w:jc w:val="center"/>
              <w:rPr>
                <w:lang w:val="en-US"/>
              </w:rPr>
            </w:pPr>
            <w:r>
              <w:rPr>
                <w:lang w:val="en-US"/>
              </w:rPr>
              <w:t>7.95</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水泵房</w:t>
            </w:r>
          </w:p>
        </w:tc>
        <w:tc>
          <w:tcPr>
            <w:tcW w:w="1417" w:type="dxa"/>
            <w:vAlign w:val="center"/>
          </w:tcPr>
          <w:p>
            <w:pPr>
              <w:spacing w:line="360" w:lineRule="exact"/>
              <w:jc w:val="center"/>
              <w:rPr>
                <w:lang w:val="en-US"/>
              </w:rPr>
            </w:pPr>
            <w:r>
              <w:rPr>
                <w:lang w:val="en-US"/>
              </w:rPr>
              <w:t>75.37</w:t>
            </w:r>
          </w:p>
        </w:tc>
        <w:tc>
          <w:tcPr>
            <w:tcW w:w="2552" w:type="dxa"/>
            <w:vAlign w:val="center"/>
          </w:tcPr>
          <w:p>
            <w:pPr>
              <w:spacing w:line="360" w:lineRule="exact"/>
              <w:jc w:val="center"/>
              <w:rPr>
                <w:lang w:val="en-US"/>
              </w:rPr>
            </w:pPr>
            <w:r>
              <w:rPr>
                <w:lang w:val="en-US"/>
              </w:rPr>
              <w:t>34.38</w:t>
            </w:r>
          </w:p>
        </w:tc>
        <w:tc>
          <w:tcPr>
            <w:tcW w:w="1134" w:type="dxa"/>
            <w:vAlign w:val="center"/>
          </w:tcPr>
          <w:p>
            <w:pPr>
              <w:spacing w:line="360" w:lineRule="exact"/>
              <w:jc w:val="center"/>
              <w:rPr>
                <w:lang w:val="en-US"/>
              </w:rPr>
            </w:pPr>
            <w:r>
              <w:rPr>
                <w:lang w:val="en-US"/>
              </w:rPr>
              <w:t>45.61</w:t>
            </w:r>
          </w:p>
        </w:tc>
        <w:tc>
          <w:tcPr>
            <w:tcW w:w="835" w:type="dxa"/>
            <w:vAlign w:val="center"/>
          </w:tcPr>
          <w:p>
            <w:pPr>
              <w:spacing w:line="360" w:lineRule="exact"/>
              <w:jc w:val="center"/>
              <w:rPr>
                <w:lang w:val="en-US"/>
              </w:rPr>
            </w:pPr>
            <w:r>
              <w:rPr>
                <w:color w:val="FF0000"/>
                <w:lang w:val="en-US"/>
              </w:rPr>
              <w:t>否</w:t>
            </w:r>
          </w:p>
        </w:tc>
      </w:tr>
      <w:bookmarkEnd w:id="155"/>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p>
    <w:p>
      <w:pPr>
        <w:rPr>
          <w:lang w:val="en-US"/>
        </w:rPr>
      </w:pPr>
      <w:bookmarkStart w:id="156" w:name="建筑室内外风压差达标判定结论"/>
      <w:r>
        <w:rPr>
          <w:rFonts w:hint="eastAsia"/>
          <w:lang w:val="en-US"/>
        </w:rPr>
        <w:t>结论：本项目中门卫、水泵房建筑未满足“50%以上可开启外窗室内外表面的风压差大于0.5Pa”的要求，该条不得分。</w:t>
      </w:r>
      <w:bookmarkEnd w:id="156"/>
      <w:r>
        <w:rPr>
          <w:rFonts w:hint="eastAsia"/>
          <w:lang w:val="en-US"/>
        </w:rPr>
        <w:t xml:space="preserve"> </w:t>
      </w:r>
    </w:p>
    <w:p>
      <w:pPr>
        <w:pStyle w:val="4"/>
      </w:pPr>
      <w:bookmarkStart w:id="157" w:name="_Toc19717"/>
      <w:r>
        <w:rPr>
          <w:rFonts w:hint="eastAsia"/>
        </w:rPr>
        <w:t>过渡季工况</w:t>
      </w:r>
      <w:bookmarkEnd w:id="157"/>
    </w:p>
    <w:p>
      <w:pPr>
        <w:pStyle w:val="3"/>
        <w:ind w:firstLine="420"/>
      </w:pPr>
      <w:r>
        <w:rPr>
          <w:rFonts w:hint="eastAsia"/>
          <w:lang w:val="en-US"/>
        </w:rPr>
        <w:t>本项目过渡季工况的入口边界风速为2.60m/s，风向为</w:t>
      </w:r>
      <w:r>
        <w:t>S</w:t>
      </w:r>
      <w:r>
        <w:rPr>
          <w:rFonts w:hint="eastAsia"/>
          <w:lang w:val="en-US"/>
        </w:rPr>
        <w:t>。</w:t>
      </w:r>
    </w:p>
    <w:p>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58" w:name="_Toc8770"/>
      <w:r>
        <w:rPr>
          <w:rFonts w:hint="eastAsia"/>
        </w:rPr>
        <w:t>人活动区域无风区计算分析</w:t>
      </w:r>
      <w:bookmarkEnd w:id="40"/>
      <w:bookmarkEnd w:id="158"/>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r>
        <w:t>黑色等值线内的人活动区域风速</w:t>
      </w:r>
      <w:r>
        <w:rPr>
          <w:color w:val="FF0000"/>
        </w:rPr>
        <w:t>小于</w:t>
      </w:r>
      <w:r>
        <w:t>0.2m/s，因此</w:t>
      </w:r>
      <w:r>
        <w:rPr>
          <w:color w:val="FF0000"/>
        </w:rPr>
        <w:t>未满足</w:t>
      </w:r>
      <w:r>
        <w:t>绿标要求，需调整建筑布局优化人行区风速分布。</w:t>
      </w:r>
    </w:p>
    <w:bookmarkEnd w:id="3"/>
    <w:p>
      <w:pPr>
        <w:pStyle w:val="3"/>
        <w:spacing w:after="156" w:afterLines="50"/>
        <w:ind w:firstLine="0" w:firstLineChars="0"/>
        <w:jc w:val="center"/>
      </w:pPr>
      <w:r>
        <w:drawing>
          <wp:inline distT="0" distB="0" distL="0" distR="0">
            <wp:extent cx="5667375" cy="2619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7"/>
                    <a:stretch>
                      <a:fillRect/>
                    </a:stretch>
                  </pic:blipFill>
                  <pic:spPr>
                    <a:xfrm>
                      <a:off x="0" y="0"/>
                      <a:ext cx="5667375" cy="26193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人活动区域-1.5米高度水平面风速云图-过渡季</w:t>
      </w:r>
      <w:bookmarkEnd w:id="4"/>
      <w:r>
        <w:rPr>
          <w:rFonts w:hint="eastAsia"/>
        </w:rPr>
        <w:t xml:space="preserve"> </w:t>
      </w:r>
    </w:p>
    <w:p>
      <w:pPr>
        <w:pStyle w:val="3"/>
        <w:ind w:firstLine="420"/>
      </w:pPr>
    </w:p>
    <w:p>
      <w:pPr>
        <w:pStyle w:val="5"/>
      </w:pPr>
      <w:bookmarkStart w:id="159" w:name="_Toc28882"/>
      <w:r>
        <w:rPr>
          <w:rFonts w:hint="eastAsia"/>
        </w:rPr>
        <w:t>人活动区域旋涡区分析</w:t>
      </w:r>
      <w:bookmarkEnd w:id="10"/>
      <w:bookmarkEnd w:id="159"/>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bookmarkEnd w:id="2"/>
    <w:p>
      <w:pPr>
        <w:pStyle w:val="3"/>
        <w:ind w:firstLine="0" w:firstLineChars="0"/>
        <w:jc w:val="center"/>
        <w:rPr>
          <w:lang w:val="en-US"/>
        </w:rPr>
      </w:pPr>
      <w:r>
        <w:drawing>
          <wp:inline distT="0" distB="0" distL="0" distR="0">
            <wp:extent cx="5667375" cy="29718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8"/>
                    <a:stretch>
                      <a:fillRect/>
                    </a:stretch>
                  </pic:blipFill>
                  <pic:spPr>
                    <a:xfrm>
                      <a:off x="0" y="0"/>
                      <a:ext cx="5667375" cy="29718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60" w:name="_Toc12922"/>
      <w:r>
        <w:rPr>
          <w:rFonts w:hint="eastAsia"/>
        </w:rPr>
        <w:t>人活动区域旋涡区/无风区达标</w:t>
      </w:r>
      <w:bookmarkEnd w:id="13"/>
      <w:r>
        <w:rPr>
          <w:rFonts w:hint="eastAsia"/>
        </w:rPr>
        <w:t>结果汇总</w:t>
      </w:r>
      <w:bookmarkEnd w:id="16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w:t>
      </w:r>
      <w:bookmarkEnd w:id="1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15"/>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17"/>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8"/>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19"/>
          </w:p>
        </w:tc>
      </w:tr>
    </w:tbl>
    <w:p>
      <w:pPr>
        <w:pStyle w:val="5"/>
      </w:pPr>
      <w:bookmarkStart w:id="161" w:name="_Toc23789"/>
      <w:r>
        <w:rPr>
          <w:rFonts w:hint="eastAsia"/>
        </w:rPr>
        <w:t>外窗内外表面风压</w:t>
      </w:r>
      <w:bookmarkEnd w:id="22"/>
      <w:r>
        <w:rPr>
          <w:rFonts w:hint="eastAsia"/>
        </w:rPr>
        <w:t>差达标分析</w:t>
      </w:r>
      <w:bookmarkEnd w:id="23"/>
      <w:bookmarkEnd w:id="161"/>
    </w:p>
    <w:p>
      <w:pPr>
        <w:pStyle w:val="3"/>
        <w:ind w:firstLine="420"/>
      </w:pPr>
      <w:r>
        <w:rPr>
          <w:rFonts w:hint="eastAsia"/>
          <w:lang w:val="en-US"/>
        </w:rPr>
        <w:t>分析《绿色建筑评价标准》，过渡季</w:t>
      </w:r>
      <w:bookmarkEnd w:id="25"/>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6"/>
    <w:p>
      <w:pPr>
        <w:pStyle w:val="3"/>
        <w:ind w:firstLine="0" w:firstLineChars="0"/>
        <w:jc w:val="center"/>
      </w:pPr>
      <w:r>
        <w:drawing>
          <wp:inline distT="0" distB="0" distL="0" distR="0">
            <wp:extent cx="5667375" cy="27908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79"/>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27"/>
    </w:p>
    <w:bookmarkEnd w:id="28"/>
    <w:p>
      <w:pPr>
        <w:pStyle w:val="13"/>
        <w:jc w:val="center"/>
      </w:pPr>
      <w:r>
        <w:drawing>
          <wp:inline distT="0" distB="0" distL="0" distR="0">
            <wp:extent cx="5667375" cy="2819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0"/>
                    <a:stretch>
                      <a:fillRect/>
                    </a:stretch>
                  </pic:blipFill>
                  <pic:spPr>
                    <a:xfrm>
                      <a:off x="0" y="0"/>
                      <a:ext cx="5667375" cy="28194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29"/>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教学楼(教学楼建筑平面_T8)</w:t>
            </w:r>
          </w:p>
        </w:tc>
        <w:tc>
          <w:tcPr>
            <w:tcW w:w="1134" w:type="dxa"/>
            <w:shd w:val="clear" w:color="auto" w:fill="auto"/>
            <w:vAlign w:val="center"/>
          </w:tcPr>
          <w:p>
            <w:pPr>
              <w:jc w:val="center"/>
              <w:rPr>
                <w:lang w:val="en-US"/>
              </w:rPr>
            </w:pPr>
            <w:r>
              <w:rPr>
                <w:lang w:val="en-US"/>
              </w:rPr>
              <w:t>103</w:t>
            </w:r>
          </w:p>
        </w:tc>
        <w:tc>
          <w:tcPr>
            <w:tcW w:w="1984" w:type="dxa"/>
            <w:shd w:val="clear" w:color="auto" w:fill="auto"/>
            <w:vAlign w:val="center"/>
          </w:tcPr>
          <w:p>
            <w:pPr>
              <w:jc w:val="center"/>
              <w:rPr>
                <w:lang w:val="en-US"/>
              </w:rPr>
            </w:pPr>
            <w:r>
              <w:rPr>
                <w:lang w:val="en-US"/>
              </w:rPr>
              <w:t>97</w:t>
            </w:r>
          </w:p>
        </w:tc>
        <w:tc>
          <w:tcPr>
            <w:tcW w:w="1116" w:type="dxa"/>
            <w:shd w:val="clear" w:color="auto" w:fill="auto"/>
            <w:vAlign w:val="center"/>
          </w:tcPr>
          <w:p>
            <w:pPr>
              <w:jc w:val="center"/>
              <w:rPr>
                <w:lang w:val="en-US"/>
              </w:rPr>
            </w:pPr>
            <w:r>
              <w:rPr>
                <w:lang w:val="en-US"/>
              </w:rPr>
              <w:t>94.17</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0"/>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门卫</w:t>
            </w:r>
          </w:p>
        </w:tc>
        <w:tc>
          <w:tcPr>
            <w:tcW w:w="1417" w:type="dxa"/>
            <w:vAlign w:val="center"/>
          </w:tcPr>
          <w:p>
            <w:pPr>
              <w:spacing w:line="360" w:lineRule="exact"/>
              <w:jc w:val="center"/>
              <w:rPr>
                <w:lang w:val="en-US"/>
              </w:rPr>
            </w:pPr>
            <w:r>
              <w:rPr>
                <w:lang w:val="en-US"/>
              </w:rPr>
              <w:t>71.01</w:t>
            </w:r>
          </w:p>
        </w:tc>
        <w:tc>
          <w:tcPr>
            <w:tcW w:w="2552" w:type="dxa"/>
            <w:vAlign w:val="center"/>
          </w:tcPr>
          <w:p>
            <w:pPr>
              <w:spacing w:line="360" w:lineRule="exact"/>
              <w:jc w:val="center"/>
              <w:rPr>
                <w:lang w:val="en-US"/>
              </w:rPr>
            </w:pPr>
            <w:r>
              <w:rPr>
                <w:lang w:val="en-US"/>
              </w:rPr>
              <w:t>5.64</w:t>
            </w:r>
          </w:p>
        </w:tc>
        <w:tc>
          <w:tcPr>
            <w:tcW w:w="1134" w:type="dxa"/>
            <w:vAlign w:val="center"/>
          </w:tcPr>
          <w:p>
            <w:pPr>
              <w:spacing w:line="360" w:lineRule="exact"/>
              <w:jc w:val="center"/>
              <w:rPr>
                <w:lang w:val="en-US"/>
              </w:rPr>
            </w:pPr>
            <w:r>
              <w:rPr>
                <w:lang w:val="en-US"/>
              </w:rPr>
              <w:t>7.95</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水泵房</w:t>
            </w:r>
          </w:p>
        </w:tc>
        <w:tc>
          <w:tcPr>
            <w:tcW w:w="1417" w:type="dxa"/>
            <w:vAlign w:val="center"/>
          </w:tcPr>
          <w:p>
            <w:pPr>
              <w:spacing w:line="360" w:lineRule="exact"/>
              <w:jc w:val="center"/>
              <w:rPr>
                <w:lang w:val="en-US"/>
              </w:rPr>
            </w:pPr>
            <w:r>
              <w:rPr>
                <w:lang w:val="en-US"/>
              </w:rPr>
              <w:t>75.37</w:t>
            </w:r>
          </w:p>
        </w:tc>
        <w:tc>
          <w:tcPr>
            <w:tcW w:w="2552" w:type="dxa"/>
            <w:vAlign w:val="center"/>
          </w:tcPr>
          <w:p>
            <w:pPr>
              <w:spacing w:line="360" w:lineRule="exact"/>
              <w:jc w:val="center"/>
              <w:rPr>
                <w:lang w:val="en-US"/>
              </w:rPr>
            </w:pPr>
            <w:r>
              <w:rPr>
                <w:lang w:val="en-US"/>
              </w:rPr>
              <w:t>34.38</w:t>
            </w:r>
          </w:p>
        </w:tc>
        <w:tc>
          <w:tcPr>
            <w:tcW w:w="1134" w:type="dxa"/>
            <w:vAlign w:val="center"/>
          </w:tcPr>
          <w:p>
            <w:pPr>
              <w:spacing w:line="360" w:lineRule="exact"/>
              <w:jc w:val="center"/>
              <w:rPr>
                <w:lang w:val="en-US"/>
              </w:rPr>
            </w:pPr>
            <w:r>
              <w:rPr>
                <w:lang w:val="en-US"/>
              </w:rPr>
              <w:t>45.61</w:t>
            </w:r>
          </w:p>
        </w:tc>
        <w:tc>
          <w:tcPr>
            <w:tcW w:w="835" w:type="dxa"/>
            <w:vAlign w:val="center"/>
          </w:tcPr>
          <w:p>
            <w:pPr>
              <w:spacing w:line="360" w:lineRule="exact"/>
              <w:jc w:val="center"/>
              <w:rPr>
                <w:lang w:val="en-US"/>
              </w:rPr>
            </w:pPr>
            <w:r>
              <w:rPr>
                <w:color w:val="FF0000"/>
                <w:lang w:val="en-US"/>
              </w:rPr>
              <w:t>否</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1"/>
    </w:p>
    <w:p>
      <w:pPr>
        <w:rPr>
          <w:lang w:val="en-US"/>
        </w:rPr>
      </w:pPr>
      <w:r>
        <w:rPr>
          <w:rFonts w:hint="eastAsia"/>
          <w:lang w:val="en-US"/>
        </w:rPr>
        <w:t>结论：本项目中门卫、水泵房建筑未满足“50%以上可开启外窗室内外表面的风压差大于0.5Pa”的要求，该条不得分。</w:t>
      </w:r>
      <w:bookmarkEnd w:id="32"/>
      <w:r>
        <w:rPr>
          <w:rFonts w:hint="eastAsia"/>
          <w:lang w:val="en-US"/>
        </w:rPr>
        <w:t xml:space="preserve"> </w:t>
      </w:r>
    </w:p>
    <w:p>
      <w:pPr>
        <w:rPr>
          <w:lang w:val="en-US"/>
        </w:rPr>
      </w:pPr>
      <w:bookmarkStart w:id="162" w:name="其他工况"/>
      <w:bookmarkEnd w:id="162"/>
      <w:r>
        <w:rPr>
          <w:rFonts w:hint="eastAsia"/>
          <w:lang w:val="en-US"/>
        </w:rPr>
        <w:t xml:space="preserve"> </w:t>
      </w:r>
    </w:p>
    <w:p>
      <w:pPr>
        <w:pStyle w:val="4"/>
      </w:pPr>
      <w:bookmarkStart w:id="163" w:name="_Toc509844764"/>
      <w:bookmarkStart w:id="164" w:name="_Toc26882"/>
      <w:r>
        <w:rPr>
          <w:rFonts w:hint="eastAsia"/>
        </w:rPr>
        <w:t>结论</w:t>
      </w:r>
      <w:bookmarkEnd w:id="163"/>
      <w:bookmarkEnd w:id="164"/>
    </w:p>
    <w:p>
      <w:pPr>
        <w:pStyle w:val="5"/>
      </w:pPr>
      <w:bookmarkStart w:id="165" w:name="_Toc509844765"/>
      <w:bookmarkStart w:id="166" w:name="_Toc21860"/>
      <w:r>
        <w:rPr>
          <w:rFonts w:hint="eastAsia"/>
        </w:rPr>
        <w:t>冬季工况达标判断</w:t>
      </w:r>
      <w:bookmarkEnd w:id="165"/>
      <w:bookmarkEnd w:id="166"/>
      <w:bookmarkStart w:id="167" w:name="_Toc509844766"/>
      <w:bookmarkEnd w:id="16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8" w:name="标准要求冬季风速得分"/>
            <w:r>
              <w:rPr>
                <w:rFonts w:hint="eastAsia"/>
                <w:lang w:val="en-US"/>
              </w:rPr>
              <w:t>3</w:t>
            </w:r>
            <w:bookmarkEnd w:id="168"/>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9" w:name="冬季风速结果2"/>
            <w:bookmarkEnd w:id="169"/>
            <w:bookmarkStart w:id="170" w:name="冬季风速结果"/>
            <w:bookmarkEnd w:id="170"/>
            <w:r>
              <w:rPr>
                <w:lang w:val="en-US"/>
              </w:rPr>
              <w:t>未出现风速超标区域</w:t>
            </w:r>
          </w:p>
        </w:tc>
        <w:tc>
          <w:tcPr>
            <w:tcW w:w="1985" w:type="dxa"/>
            <w:vMerge w:val="restart"/>
            <w:tcBorders>
              <w:top w:val="single" w:color="auto" w:sz="4" w:space="0"/>
            </w:tcBorders>
            <w:shd w:val="clear" w:color="auto" w:fill="auto"/>
            <w:vAlign w:val="center"/>
          </w:tcPr>
          <w:p>
            <w:pPr>
              <w:jc w:val="center"/>
              <w:rPr>
                <w:b/>
                <w:lang w:val="en-US"/>
              </w:rPr>
            </w:pPr>
            <w:bookmarkStart w:id="171" w:name="冬季风速达标判定"/>
            <w:r>
              <w:rPr>
                <w:rFonts w:hint="eastAsia"/>
                <w:b/>
                <w:lang w:val="en-US"/>
              </w:rPr>
              <w:t>达标</w:t>
            </w:r>
            <w:bookmarkEnd w:id="171"/>
          </w:p>
        </w:tc>
        <w:tc>
          <w:tcPr>
            <w:tcW w:w="1416" w:type="dxa"/>
            <w:vMerge w:val="restart"/>
            <w:tcBorders>
              <w:top w:val="single" w:color="auto" w:sz="4" w:space="0"/>
            </w:tcBorders>
            <w:shd w:val="clear" w:color="auto" w:fill="auto"/>
            <w:vAlign w:val="center"/>
          </w:tcPr>
          <w:p>
            <w:pPr>
              <w:jc w:val="center"/>
              <w:rPr>
                <w:lang w:val="en-US"/>
              </w:rPr>
            </w:pPr>
            <w:bookmarkStart w:id="172" w:name="冬季风速得分"/>
            <w:r>
              <w:rPr>
                <w:rFonts w:hint="eastAsia"/>
                <w:lang w:val="en-US"/>
              </w:rPr>
              <w:t>3</w:t>
            </w:r>
            <w:bookmarkEnd w:id="172"/>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73" w:name="冬季风速放大系数结果人行区"/>
            <w:bookmarkEnd w:id="173"/>
            <w:bookmarkStart w:id="174" w:name="冬季风速放大系数结果休息区"/>
            <w:bookmarkEnd w:id="174"/>
            <w:r>
              <w:rPr>
                <w:lang w:val="en-US"/>
              </w:rPr>
              <w:t>未出现风速放大系数大于等于2的区域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75" w:name="标准要求冬季风压得分"/>
            <w:r>
              <w:rPr>
                <w:rFonts w:hint="eastAsia"/>
                <w:lang w:val="en-US"/>
              </w:rPr>
              <w:t>2</w:t>
            </w:r>
            <w:bookmarkEnd w:id="175"/>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76" w:name="冬季迎背风面结果"/>
            <w:r>
              <w:t>没有出现</w:t>
            </w:r>
            <w:bookmarkEnd w:id="176"/>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77" w:name="冬季迎背风面达标判定"/>
            <w:r>
              <w:rPr>
                <w:rFonts w:hint="eastAsia"/>
                <w:b/>
                <w:lang w:val="en-US"/>
              </w:rPr>
              <w:t>达标</w:t>
            </w:r>
            <w:bookmarkEnd w:id="177"/>
          </w:p>
        </w:tc>
        <w:tc>
          <w:tcPr>
            <w:tcW w:w="1416" w:type="dxa"/>
            <w:shd w:val="clear" w:color="auto" w:fill="auto"/>
            <w:vAlign w:val="center"/>
          </w:tcPr>
          <w:p>
            <w:pPr>
              <w:jc w:val="center"/>
              <w:rPr>
                <w:lang w:val="en-US"/>
              </w:rPr>
            </w:pPr>
            <w:bookmarkStart w:id="178" w:name="冬季迎背风面得分"/>
            <w:r>
              <w:rPr>
                <w:rFonts w:hint="eastAsia"/>
                <w:lang w:val="en-US"/>
              </w:rPr>
              <w:t>2</w:t>
            </w:r>
            <w:bookmarkEnd w:id="178"/>
            <w:r>
              <w:rPr>
                <w:rFonts w:hint="eastAsia"/>
                <w:lang w:val="en-US"/>
              </w:rPr>
              <w:t>分</w:t>
            </w:r>
          </w:p>
        </w:tc>
      </w:tr>
    </w:tbl>
    <w:p>
      <w:pPr>
        <w:rPr>
          <w:szCs w:val="21"/>
          <w:lang w:val="en-US"/>
        </w:rPr>
      </w:pPr>
      <w:bookmarkStart w:id="179" w:name="_Toc509844767"/>
      <w:bookmarkEnd w:id="179"/>
      <w:bookmarkStart w:id="180" w:name="_Toc509844768"/>
      <w:bookmarkEnd w:id="180"/>
    </w:p>
    <w:bookmarkEnd w:id="0"/>
    <w:bookmarkEnd w:id="1"/>
    <w:p>
      <w:pPr>
        <w:pStyle w:val="5"/>
      </w:pPr>
      <w:bookmarkStart w:id="181" w:name="_Toc509844769"/>
      <w:bookmarkStart w:id="182" w:name="_Toc1422"/>
      <w:r>
        <w:rPr>
          <w:rFonts w:hint="eastAsia"/>
        </w:rPr>
        <w:t>过渡季、夏季工况达标判断</w:t>
      </w:r>
      <w:bookmarkEnd w:id="181"/>
      <w:bookmarkEnd w:id="182"/>
      <w:bookmarkStart w:id="194" w:name="_GoBack"/>
      <w:bookmarkEnd w:id="19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83" w:name="标准要求夏季风速得分"/>
            <w:r>
              <w:rPr>
                <w:rFonts w:hint="eastAsia"/>
                <w:lang w:val="en-US"/>
              </w:rPr>
              <w:t>3</w:t>
            </w:r>
            <w:bookmarkEnd w:id="183"/>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84" w:name="夏季无风区结果人活动区文字"/>
            <w:r>
              <w:rPr>
                <w:rFonts w:hint="eastAsia"/>
                <w:lang w:val="en-US"/>
              </w:rPr>
              <w:t>人活动区</w:t>
            </w:r>
            <w:bookmarkStart w:id="185" w:name="夏季无风区结果"/>
            <w:r>
              <w:rPr>
                <w:color w:val="FF0000"/>
              </w:rPr>
              <w:t>有</w:t>
            </w:r>
            <w:bookmarkEnd w:id="184"/>
            <w:bookmarkEnd w:id="185"/>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86" w:name="夏季无风区达标判定"/>
            <w:r>
              <w:rPr>
                <w:rFonts w:hint="eastAsia"/>
                <w:b/>
                <w:color w:val="FF0000"/>
                <w:lang w:val="en-US"/>
              </w:rPr>
              <w:t>不达标</w:t>
            </w:r>
            <w:bookmarkEnd w:id="186"/>
          </w:p>
        </w:tc>
        <w:tc>
          <w:tcPr>
            <w:tcW w:w="1416" w:type="dxa"/>
            <w:vMerge w:val="restart"/>
            <w:tcBorders>
              <w:top w:val="single" w:color="auto" w:sz="4" w:space="0"/>
            </w:tcBorders>
            <w:shd w:val="clear" w:color="auto" w:fill="auto"/>
            <w:vAlign w:val="center"/>
          </w:tcPr>
          <w:p>
            <w:pPr>
              <w:jc w:val="center"/>
              <w:rPr>
                <w:lang w:val="en-US"/>
              </w:rPr>
            </w:pPr>
            <w:bookmarkStart w:id="187" w:name="夏季无风区得分"/>
            <w:r>
              <w:rPr>
                <w:rFonts w:hint="eastAsia"/>
                <w:lang w:val="en-US"/>
              </w:rPr>
              <w:t>0</w:t>
            </w:r>
            <w:bookmarkEnd w:id="18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88" w:name="夏季旋涡区结果人活动区文字"/>
            <w:r>
              <w:rPr>
                <w:rFonts w:hint="eastAsia"/>
                <w:lang w:val="en-US"/>
              </w:rPr>
              <w:t>人活动区</w:t>
            </w:r>
            <w:bookmarkEnd w:id="188"/>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89" w:name="标准要求夏季风压得分"/>
            <w:r>
              <w:rPr>
                <w:rFonts w:hint="eastAsia"/>
                <w:lang w:val="en-US"/>
              </w:rPr>
              <w:t>2</w:t>
            </w:r>
            <w:bookmarkEnd w:id="189"/>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90" w:name="夏季窗内外风压差结果"/>
            <w:r>
              <w:rPr>
                <w:rFonts w:hint="eastAsia"/>
                <w:color w:val="FF0000"/>
                <w:lang w:val="en-US"/>
              </w:rPr>
              <w:t>不满足</w:t>
            </w:r>
            <w:bookmarkEnd w:id="190"/>
            <w:r>
              <w:rPr>
                <w:rFonts w:hint="eastAsia"/>
                <w:lang w:val="en-US"/>
              </w:rPr>
              <w:t>标准要求</w:t>
            </w:r>
          </w:p>
        </w:tc>
        <w:tc>
          <w:tcPr>
            <w:tcW w:w="1844" w:type="dxa"/>
            <w:shd w:val="clear" w:color="auto" w:fill="auto"/>
            <w:vAlign w:val="center"/>
          </w:tcPr>
          <w:p>
            <w:pPr>
              <w:jc w:val="center"/>
              <w:rPr>
                <w:b/>
                <w:lang w:val="en-US"/>
              </w:rPr>
            </w:pPr>
            <w:bookmarkStart w:id="191" w:name="夏季窗内外风压差达标判定"/>
            <w:r>
              <w:rPr>
                <w:rFonts w:hint="eastAsia"/>
                <w:b/>
                <w:color w:val="FF0000"/>
                <w:lang w:val="en-US"/>
              </w:rPr>
              <w:t>不达标</w:t>
            </w:r>
            <w:bookmarkEnd w:id="191"/>
          </w:p>
        </w:tc>
        <w:tc>
          <w:tcPr>
            <w:tcW w:w="1416" w:type="dxa"/>
            <w:shd w:val="clear" w:color="auto" w:fill="auto"/>
            <w:vAlign w:val="center"/>
          </w:tcPr>
          <w:p>
            <w:pPr>
              <w:jc w:val="center"/>
              <w:rPr>
                <w:lang w:val="en-US"/>
              </w:rPr>
            </w:pPr>
            <w:bookmarkStart w:id="192" w:name="夏季窗内外风压差得分"/>
            <w:r>
              <w:rPr>
                <w:rFonts w:hint="eastAsia"/>
                <w:lang w:val="en-US"/>
              </w:rPr>
              <w:t>0</w:t>
            </w:r>
            <w:bookmarkEnd w:id="192"/>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93" w:name="总得分"/>
      <w:r>
        <w:rPr>
          <w:rFonts w:hint="eastAsia"/>
          <w:lang w:val="en-US"/>
        </w:rPr>
        <w:t>5</w:t>
      </w:r>
      <w:bookmarkEnd w:id="19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DVlY2MxMGMxZDM5YWVlMGZlZDE0NzdiOTMzZmI1OTkifQ=="/>
  </w:docVars>
  <w:rsids>
    <w:rsidRoot w:val="00217F62"/>
    <w:rsid w:val="001915A3"/>
    <w:rsid w:val="00217F62"/>
    <w:rsid w:val="00A906D8"/>
    <w:rsid w:val="00AB5A74"/>
    <w:rsid w:val="00F071AE"/>
    <w:rsid w:val="6D090C2E"/>
    <w:rsid w:val="72B75F9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855</Words>
  <Characters>4878</Characters>
  <Lines>40</Lines>
  <Paragraphs>11</Paragraphs>
  <TotalTime>5</TotalTime>
  <ScaleCrop>false</ScaleCrop>
  <LinksUpToDate>false</LinksUpToDate>
  <CharactersWithSpaces>5722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admin</cp:lastModifiedBy>
  <cp:lastPrinted>1900-12-31T16:00:00Z</cp:lastPrinted>
  <dcterms:modified xsi:type="dcterms:W3CDTF">2023-12-12T08:37:11Z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11538C67599B4347BA85D8F1504AC896_12</vt:lpwstr>
  </property>
</Properties>
</file>