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bookmarkStart w:id="0" w:name="工程名称"/>
            <w:r>
              <w:t>新乐市马头铺学区内营小学改扩建教学楼项目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bookmarkStart w:id="2" w:name="建设单位"/>
            <w:r>
              <w:t>新乐市马头铺学区内营小学</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bookmarkStart w:id="3" w:name="设计单位"/>
            <w:r>
              <w:t>新中远工程设计有限公司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r>
              <w:rPr>
                <w:rFonts w:hint="eastAsia"/>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建筑声环境SEDU2022</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r>
              <w:rPr>
                <w:rFonts w:hint="eastAsia"/>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20210808（SP1）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r>
              <w:rPr>
                <w:rFonts w:hint="eastAsia"/>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hAnsi="Times New Roman" w:cs="宋体"/>
                <w:lang w:val="zh-CN"/>
              </w:rPr>
            </w:pPr>
            <w:r>
              <w:rPr>
                <w:rFonts w:hint="eastAsia"/>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r>
              <w:rPr>
                <w:rFonts w:hint="eastAsia"/>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T15231600581</w:t>
            </w:r>
            <w:bookmarkEnd w:id="7"/>
          </w:p>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_Toc13621 </w:instrText>
      </w:r>
      <w:r>
        <w:rPr>
          <w:rFonts w:ascii="宋体" w:hAnsi="宋体"/>
          <w:caps/>
        </w:rPr>
        <w:fldChar w:fldCharType="separate"/>
      </w:r>
      <w:r>
        <w:rPr>
          <w:rFonts w:hint="eastAsia" w:ascii="Times New Roman" w:hAnsi="Times New Roman"/>
          <w:szCs w:val="28"/>
        </w:rPr>
        <w:t>1</w:t>
      </w:r>
      <w:r>
        <w:rPr>
          <w:rFonts w:ascii="Times New Roman" w:hAnsi="Times New Roman"/>
          <w:szCs w:val="28"/>
        </w:rPr>
        <w:t>.</w:t>
      </w:r>
      <w:r>
        <w:rPr>
          <w:rFonts w:hint="eastAsia" w:ascii="Times New Roman" w:hAnsi="Times New Roman"/>
          <w:szCs w:val="28"/>
        </w:rPr>
        <w:t>项目概况</w:t>
      </w:r>
      <w:r>
        <w:tab/>
      </w:r>
      <w:r>
        <w:fldChar w:fldCharType="begin"/>
      </w:r>
      <w:r>
        <w:instrText xml:space="preserve"> PAGEREF _Toc13621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_Toc19105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_Toc19105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_Toc14697 </w:instrText>
      </w:r>
      <w:r>
        <w:fldChar w:fldCharType="separate"/>
      </w:r>
      <w:r>
        <w:rPr>
          <w:rFonts w:hint="eastAsia"/>
          <w:szCs w:val="24"/>
        </w:rPr>
        <w:t>2.1评价</w:t>
      </w:r>
      <w:r>
        <w:rPr>
          <w:szCs w:val="24"/>
        </w:rPr>
        <w:t>依据</w:t>
      </w:r>
      <w:r>
        <w:tab/>
      </w:r>
      <w:r>
        <w:fldChar w:fldCharType="begin"/>
      </w:r>
      <w:r>
        <w:instrText xml:space="preserve"> PAGEREF _Toc14697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_Toc26141 </w:instrText>
      </w:r>
      <w:r>
        <w:fldChar w:fldCharType="separate"/>
      </w:r>
      <w:r>
        <w:rPr>
          <w:rFonts w:hint="eastAsia"/>
          <w:szCs w:val="24"/>
        </w:rPr>
        <w:t>2.2标准</w:t>
      </w:r>
      <w:r>
        <w:rPr>
          <w:szCs w:val="24"/>
        </w:rPr>
        <w:t>要求</w:t>
      </w:r>
      <w:r>
        <w:tab/>
      </w:r>
      <w:r>
        <w:fldChar w:fldCharType="begin"/>
      </w:r>
      <w:r>
        <w:instrText xml:space="preserve"> PAGEREF _Toc26141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_Toc8779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_Toc8779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_Toc24209 </w:instrText>
      </w:r>
      <w:r>
        <w:fldChar w:fldCharType="separate"/>
      </w:r>
      <w:r>
        <w:rPr>
          <w:rFonts w:hint="eastAsia"/>
          <w:szCs w:val="24"/>
        </w:rPr>
        <w:t>3.1模拟软件</w:t>
      </w:r>
      <w:r>
        <w:tab/>
      </w:r>
      <w:r>
        <w:fldChar w:fldCharType="begin"/>
      </w:r>
      <w:r>
        <w:instrText xml:space="preserve"> PAGEREF _Toc24209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_Toc28732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_Toc28732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_Toc23800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_Toc23800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_Toc4605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_Toc4605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_Toc8182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_Toc8182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_Toc21216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_Toc21216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_Toc14285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_Toc14285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_Toc4984 </w:instrText>
      </w:r>
      <w:r>
        <w:fldChar w:fldCharType="separate"/>
      </w:r>
      <w:r>
        <w:rPr>
          <w:rFonts w:hint="eastAsia" w:ascii="Times New Roman" w:hAnsi="Times New Roman"/>
          <w:szCs w:val="28"/>
        </w:rPr>
        <w:t>5.结论</w:t>
      </w:r>
      <w:r>
        <w:tab/>
      </w:r>
      <w:r>
        <w:fldChar w:fldCharType="begin"/>
      </w:r>
      <w:r>
        <w:instrText xml:space="preserve"> PAGEREF _Toc4984 \h </w:instrText>
      </w:r>
      <w:r>
        <w:fldChar w:fldCharType="separate"/>
      </w:r>
      <w:r>
        <w:t>13</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13621"/>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教学楼</w:t>
            </w:r>
          </w:p>
        </w:tc>
        <w:tc>
          <w:tcPr>
            <w:vAlign w:val="center"/>
          </w:tcPr>
          <w:p>
            <w:pPr>
              <w:jc w:val="center"/>
              <w:rPr>
                <w:rFonts w:hint="default" w:eastAsia="微软雅黑"/>
                <w:lang w:val="en-US" w:eastAsia="zh-CN"/>
              </w:rPr>
            </w:pPr>
            <w:r>
              <w:rPr>
                <w:rFonts w:hint="eastAsia"/>
                <w:lang w:val="en-US" w:eastAsia="zh-CN"/>
              </w:rPr>
              <w:t>12.25</w:t>
            </w:r>
          </w:p>
        </w:tc>
        <w:tc>
          <w:tcPr>
            <w:vAlign w:val="center"/>
          </w:tcPr>
          <w:p>
            <w:pPr>
              <w:jc w:val="center"/>
            </w:pPr>
            <w:r>
              <w:t>0.00</w:t>
            </w:r>
          </w:p>
        </w:tc>
      </w:tr>
    </w:tbl>
    <w:p>
      <w:pPr>
        <w:jc w:val="center"/>
      </w:pPr>
      <w:bookmarkStart w:id="11" w:name="参评建筑信息表"/>
      <w:bookmarkEnd w:id="11"/>
    </w:p>
    <w:p>
      <w:pPr>
        <w:pStyle w:val="2"/>
        <w:rPr>
          <w:rFonts w:ascii="Times New Roman" w:hAnsi="Times New Roman"/>
          <w:sz w:val="28"/>
          <w:szCs w:val="28"/>
        </w:rPr>
      </w:pPr>
      <w:bookmarkStart w:id="12" w:name="_Toc479326718"/>
      <w:bookmarkStart w:id="13" w:name="_Toc19105"/>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14697"/>
      <w:r>
        <w:rPr>
          <w:rFonts w:hint="eastAsia"/>
          <w:sz w:val="24"/>
          <w:szCs w:val="24"/>
        </w:rPr>
        <w:t>2.1评价</w:t>
      </w:r>
      <w:r>
        <w:rPr>
          <w:sz w:val="24"/>
          <w:szCs w:val="24"/>
        </w:rPr>
        <w:t>依据</w:t>
      </w:r>
      <w:bookmarkEnd w:id="14"/>
      <w:bookmarkEnd w:id="15"/>
    </w:p>
    <w:p>
      <w:pPr>
        <w:pStyle w:val="25"/>
        <w:numPr>
          <w:ilvl w:val="0"/>
          <w:numId w:val="1"/>
        </w:numPr>
        <w:ind w:firstLineChars="0"/>
      </w:pPr>
      <w:bookmarkStart w:id="16" w:name="标准名称1"/>
      <w:bookmarkStart w:id="17" w:name="_Hlk13924517"/>
      <w:bookmarkStart w:id="18" w:name="_Toc479326720"/>
      <w:r>
        <w:rPr>
          <w:rFonts w:hint="eastAsia"/>
        </w:rPr>
        <w:t>河北省《绿色建筑评价标准》DB13(J)/T 8</w:t>
      </w:r>
      <w:r>
        <w:rPr>
          <w:rFonts w:hint="eastAsia"/>
          <w:lang w:val="en-US" w:eastAsia="zh-CN"/>
        </w:rPr>
        <w:t>427</w:t>
      </w:r>
      <w:r>
        <w:rPr>
          <w:rFonts w:hint="eastAsia"/>
        </w:rPr>
        <w:t>-202</w:t>
      </w:r>
      <w:bookmarkEnd w:id="16"/>
      <w:r>
        <w:rPr>
          <w:rFonts w:hint="eastAsia"/>
          <w:lang w:val="en-US" w:eastAsia="zh-CN"/>
        </w:rPr>
        <w:t>1</w:t>
      </w:r>
    </w:p>
    <w:p>
      <w:pPr>
        <w:pStyle w:val="25"/>
        <w:numPr>
          <w:ilvl w:val="0"/>
          <w:numId w:val="1"/>
        </w:numPr>
        <w:ind w:firstLineChars="0"/>
      </w:pPr>
      <w:r>
        <w:rPr>
          <w:rFonts w:hint="eastAsia"/>
        </w:rPr>
        <w:t>《绿色建筑评价标准》</w:t>
      </w:r>
      <w:r>
        <w:t>GB</w:t>
      </w:r>
      <w:r>
        <w:rPr>
          <w:rFonts w:hint="eastAsia"/>
        </w:rPr>
        <w:t xml:space="preserve"> </w:t>
      </w:r>
      <w:r>
        <w:t>50378-2019</w:t>
      </w:r>
      <w:bookmarkEnd w:id="17"/>
      <w:r>
        <w:t xml:space="preserve"> </w:t>
      </w:r>
    </w:p>
    <w:p>
      <w:pPr>
        <w:pStyle w:val="25"/>
        <w:numPr>
          <w:ilvl w:val="0"/>
          <w:numId w:val="1"/>
        </w:numPr>
        <w:ind w:firstLineChars="0"/>
      </w:pPr>
      <w:r>
        <w:rPr>
          <w:rFonts w:hint="eastAsia"/>
        </w:rPr>
        <w:t>《绿色建筑评价</w:t>
      </w:r>
      <w:r>
        <w:t>技术细则</w:t>
      </w:r>
      <w:r>
        <w:rPr>
          <w:rFonts w:hint="eastAsia"/>
        </w:rPr>
        <w:t>》2019</w:t>
      </w:r>
    </w:p>
    <w:p>
      <w:pPr>
        <w:pStyle w:val="25"/>
        <w:numPr>
          <w:ilvl w:val="0"/>
          <w:numId w:val="1"/>
        </w:numPr>
        <w:ind w:firstLineChars="0"/>
      </w:pPr>
      <w:r>
        <w:rPr>
          <w:rFonts w:hint="eastAsia"/>
        </w:rPr>
        <w:t>《声环境质量标准》</w:t>
      </w:r>
      <w:r>
        <w:t xml:space="preserve">GB 3096-2008 </w:t>
      </w:r>
    </w:p>
    <w:p>
      <w:pPr>
        <w:pStyle w:val="25"/>
        <w:numPr>
          <w:ilvl w:val="0"/>
          <w:numId w:val="1"/>
        </w:numPr>
        <w:ind w:firstLineChars="0"/>
      </w:pPr>
      <w:r>
        <w:rPr>
          <w:rFonts w:hint="eastAsia"/>
        </w:rPr>
        <w:t>《环境</w:t>
      </w:r>
      <w:r>
        <w:t>影响评价技术</w:t>
      </w:r>
      <w:r>
        <w:rPr>
          <w:rFonts w:hint="eastAsia"/>
        </w:rPr>
        <w:t>导则 声环境》HJ</w:t>
      </w:r>
      <w:r>
        <w:t>2.4-2009</w:t>
      </w:r>
    </w:p>
    <w:p>
      <w:pPr>
        <w:pStyle w:val="25"/>
        <w:numPr>
          <w:ilvl w:val="0"/>
          <w:numId w:val="1"/>
        </w:numPr>
        <w:ind w:firstLineChars="0"/>
      </w:pPr>
      <w:r>
        <w:rPr>
          <w:rFonts w:hint="eastAsia"/>
        </w:rPr>
        <w:t>《声环境功能区划分技术规范》</w:t>
      </w:r>
      <w:r>
        <w:t>GB/T15190-2014</w:t>
      </w:r>
    </w:p>
    <w:p>
      <w:pPr>
        <w:pStyle w:val="25"/>
        <w:numPr>
          <w:ilvl w:val="0"/>
          <w:numId w:val="1"/>
        </w:numPr>
        <w:ind w:firstLineChars="0"/>
      </w:pPr>
      <w:r>
        <w:rPr>
          <w:rFonts w:hint="eastAsia"/>
        </w:rPr>
        <w:t>《</w:t>
      </w:r>
      <w:r>
        <w:t>民用建筑绿色性能计算标准</w:t>
      </w:r>
      <w:r>
        <w:rPr>
          <w:rFonts w:hint="eastAsia"/>
        </w:rPr>
        <w:t>》</w:t>
      </w:r>
      <w:r>
        <w:t xml:space="preserve">JGJT_449-2018 </w:t>
      </w:r>
    </w:p>
    <w:p>
      <w:pPr>
        <w:pStyle w:val="3"/>
        <w:rPr>
          <w:sz w:val="24"/>
          <w:szCs w:val="24"/>
        </w:rPr>
      </w:pPr>
      <w:bookmarkStart w:id="19" w:name="_Toc26141"/>
      <w:r>
        <w:rPr>
          <w:rFonts w:hint="eastAsia"/>
          <w:sz w:val="24"/>
          <w:szCs w:val="24"/>
        </w:rPr>
        <w:t>2.2标准</w:t>
      </w:r>
      <w:r>
        <w:rPr>
          <w:sz w:val="24"/>
          <w:szCs w:val="24"/>
        </w:rPr>
        <w:t>要求</w:t>
      </w:r>
      <w:bookmarkEnd w:id="18"/>
      <w:bookmarkEnd w:id="19"/>
    </w:p>
    <w:p>
      <w:pPr>
        <w:pStyle w:val="25"/>
        <w:numPr>
          <w:ilvl w:val="0"/>
          <w:numId w:val="2"/>
        </w:numPr>
        <w:ind w:firstLineChars="0"/>
      </w:pPr>
      <w:bookmarkStart w:id="20" w:name="标准名称2"/>
      <w:r>
        <w:rPr>
          <w:rFonts w:hint="eastAsia"/>
        </w:rPr>
        <w:t xml:space="preserve">河北省《绿色建筑评价标准》DB13(J)/T </w:t>
      </w:r>
      <w:r>
        <w:rPr>
          <w:rFonts w:hint="eastAsia"/>
          <w:lang w:val="en-US" w:eastAsia="zh-CN"/>
        </w:rPr>
        <w:t>8427</w:t>
      </w:r>
      <w:r>
        <w:rPr>
          <w:rFonts w:hint="eastAsia"/>
        </w:rPr>
        <w:t>-202</w:t>
      </w:r>
      <w:bookmarkEnd w:id="20"/>
      <w:r>
        <w:rPr>
          <w:rFonts w:hint="eastAsia"/>
          <w:lang w:val="en-US" w:eastAsia="zh-CN"/>
        </w:rPr>
        <w:t>1</w:t>
      </w:r>
      <w:bookmarkStart w:id="62" w:name="_GoBack"/>
      <w:bookmarkEnd w:id="62"/>
      <w:r>
        <w:rPr>
          <w:rFonts w:hint="eastAsia"/>
        </w:rPr>
        <w:t>中规定：</w:t>
      </w:r>
    </w:p>
    <w:p>
      <w:pPr>
        <w:pStyle w:val="25"/>
        <w:ind w:left="420" w:firstLine="0" w:firstLineChars="0"/>
      </w:pPr>
      <w:bookmarkStart w:id="21" w:name="室外条文内容"/>
      <w:r>
        <w:t>8.2.6 场地内的环境噪声优于现行国家标准《声环境质量标准》GB 3096 的要求，评价总分值为 10分，并按下列规则评分：</w:t>
      </w:r>
    </w:p>
    <w:p>
      <w:pPr>
        <w:pStyle w:val="25"/>
        <w:ind w:left="420" w:firstLine="0" w:firstLineChars="0"/>
      </w:pPr>
      <w:r>
        <w:t xml:space="preserve">    1 环境噪声值大于 2 类声环境功能区标准限值，且小于等于 3 类声环境功能区标准限值，得 5 分；</w:t>
      </w:r>
    </w:p>
    <w:p>
      <w:pPr>
        <w:pStyle w:val="25"/>
        <w:ind w:left="420" w:firstLine="0" w:firstLineChars="0"/>
      </w:pPr>
      <w:r>
        <w:t xml:space="preserve">    2 环境噪声值小于等于 2 类声环境功能区标准限值，得 10 分。</w:t>
      </w:r>
    </w:p>
    <w:bookmarkEnd w:id="21"/>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22" w:name="声功能区类别表格"/>
      <w:bookmarkEnd w:id="22"/>
      <w:bookmarkStart w:id="23" w:name="_Toc479326721"/>
      <w:bookmarkStart w:id="24" w:name="_Toc8779"/>
      <w:r>
        <w:rPr>
          <w:rFonts w:hint="eastAsia" w:ascii="Times New Roman" w:hAnsi="Times New Roman"/>
          <w:sz w:val="28"/>
          <w:szCs w:val="28"/>
        </w:rPr>
        <w:t>3.模拟</w:t>
      </w:r>
      <w:r>
        <w:rPr>
          <w:rFonts w:ascii="Times New Roman" w:hAnsi="Times New Roman"/>
          <w:sz w:val="28"/>
          <w:szCs w:val="28"/>
        </w:rPr>
        <w:t>方法</w:t>
      </w:r>
      <w:bookmarkEnd w:id="23"/>
      <w:bookmarkEnd w:id="24"/>
    </w:p>
    <w:p>
      <w:pPr>
        <w:pStyle w:val="3"/>
        <w:rPr>
          <w:sz w:val="24"/>
          <w:szCs w:val="24"/>
        </w:rPr>
      </w:pPr>
      <w:bookmarkStart w:id="25" w:name="_Toc479326722"/>
      <w:bookmarkStart w:id="26" w:name="_Toc24209"/>
      <w:r>
        <w:rPr>
          <w:rFonts w:hint="eastAsia"/>
          <w:sz w:val="24"/>
          <w:szCs w:val="24"/>
        </w:rPr>
        <w:t>3.1模拟软件</w:t>
      </w:r>
      <w:bookmarkEnd w:id="25"/>
      <w:bookmarkEnd w:id="26"/>
    </w:p>
    <w:p>
      <w:pPr>
        <w:pStyle w:val="33"/>
        <w:spacing w:line="276" w:lineRule="auto"/>
        <w:ind w:firstLine="420"/>
        <w:rPr>
          <w:rFonts w:ascii="微软雅黑" w:hAnsi="微软雅黑" w:cs="Times New Roman"/>
          <w:sz w:val="21"/>
          <w:szCs w:val="21"/>
        </w:rPr>
      </w:pPr>
      <w:bookmarkStart w:id="27" w:name="_Toc479326723"/>
      <w:r>
        <w:rPr>
          <w:rFonts w:hint="eastAsia" w:ascii="微软雅黑" w:hAnsi="微软雅黑"/>
          <w:sz w:val="21"/>
          <w:szCs w:val="21"/>
        </w:rPr>
        <w:t>本报告采用建筑</w:t>
      </w:r>
      <w:r>
        <w:rPr>
          <w:rFonts w:ascii="微软雅黑" w:hAnsi="微软雅黑"/>
          <w:sz w:val="21"/>
          <w:szCs w:val="21"/>
        </w:rPr>
        <w:t>声环境分析软件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DU是一款可用</w:t>
      </w:r>
      <w:r>
        <w:rPr>
          <w:rFonts w:ascii="微软雅黑" w:hAnsi="微软雅黑"/>
          <w:sz w:val="21"/>
          <w:szCs w:val="21"/>
        </w:rPr>
        <w:t>于</w:t>
      </w:r>
      <w:r>
        <w:rPr>
          <w:rFonts w:hint="eastAsia" w:ascii="微软雅黑" w:hAnsi="微软雅黑"/>
          <w:sz w:val="21"/>
          <w:szCs w:val="21"/>
        </w:rPr>
        <w:t>噪声计算、评估和预测的软件，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22"/>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GB/T15190-2019</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8" w:name="_Toc28732"/>
      <w:r>
        <w:rPr>
          <w:rFonts w:hint="eastAsia"/>
          <w:sz w:val="24"/>
          <w:szCs w:val="24"/>
        </w:rPr>
        <w:t>3.2分析</w:t>
      </w:r>
      <w:r>
        <w:rPr>
          <w:sz w:val="24"/>
          <w:szCs w:val="24"/>
        </w:rPr>
        <w:t>模</w:t>
      </w:r>
      <w:r>
        <w:rPr>
          <w:rFonts w:hint="eastAsia"/>
          <w:sz w:val="24"/>
          <w:szCs w:val="24"/>
        </w:rPr>
        <w:t>型</w:t>
      </w:r>
      <w:bookmarkEnd w:id="27"/>
      <w:bookmarkEnd w:id="28"/>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9" w:name="建设项目室外声环境分析模型平面图"/>
      <w:bookmarkEnd w:id="29"/>
      <w:r>
        <w:drawing>
          <wp:inline distT="0" distB="0" distL="0" distR="0">
            <wp:extent cx="5667375" cy="53530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8"/>
                    <a:stretch>
                      <a:fillRect/>
                    </a:stretch>
                  </pic:blipFill>
                  <pic:spPr>
                    <a:xfrm>
                      <a:off x="0" y="0"/>
                      <a:ext cx="5667375" cy="5353050"/>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30" w:name="_Toc23800"/>
      <w:bookmarkStart w:id="31" w:name="_Toc479326725"/>
      <w:r>
        <w:rPr>
          <w:rFonts w:hint="eastAsia"/>
          <w:sz w:val="24"/>
          <w:szCs w:val="24"/>
        </w:rPr>
        <w:t>3.</w:t>
      </w:r>
      <w:r>
        <w:rPr>
          <w:sz w:val="24"/>
          <w:szCs w:val="24"/>
        </w:rPr>
        <w:t>3</w:t>
      </w:r>
      <w:r>
        <w:rPr>
          <w:rFonts w:hint="eastAsia"/>
          <w:sz w:val="24"/>
          <w:szCs w:val="24"/>
        </w:rPr>
        <w:t>计算条件</w:t>
      </w:r>
      <w:bookmarkEnd w:id="30"/>
      <w:bookmarkEnd w:id="31"/>
    </w:p>
    <w:p>
      <w:pPr>
        <w:rPr>
          <w:b/>
        </w:rPr>
      </w:pPr>
      <w:bookmarkStart w:id="32" w:name="计算条件"/>
      <w:r>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取建筑物全部立面网格点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32"/>
    <w:p>
      <w:pPr>
        <w:pStyle w:val="3"/>
        <w:rPr>
          <w:sz w:val="24"/>
          <w:szCs w:val="24"/>
        </w:rPr>
      </w:pPr>
      <w:bookmarkStart w:id="33" w:name="_Toc479326726"/>
      <w:bookmarkStart w:id="34" w:name="_Toc4605"/>
      <w:r>
        <w:rPr>
          <w:rFonts w:hint="eastAsia"/>
          <w:sz w:val="24"/>
          <w:szCs w:val="24"/>
        </w:rPr>
        <w:t>3.</w:t>
      </w:r>
      <w:r>
        <w:rPr>
          <w:sz w:val="24"/>
          <w:szCs w:val="24"/>
        </w:rPr>
        <w:t>4</w:t>
      </w:r>
      <w:r>
        <w:rPr>
          <w:rFonts w:hint="eastAsia"/>
          <w:sz w:val="24"/>
          <w:szCs w:val="24"/>
        </w:rPr>
        <w:t>参数</w:t>
      </w:r>
      <w:r>
        <w:rPr>
          <w:sz w:val="24"/>
          <w:szCs w:val="24"/>
        </w:rPr>
        <w:t>设置</w:t>
      </w:r>
      <w:bookmarkEnd w:id="33"/>
      <w:bookmarkEnd w:id="34"/>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jc w:val="center"/>
      </w:pPr>
      <w:bookmarkStart w:id="35" w:name="声源表"/>
      <w:bookmarkEnd w:id="35"/>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路段名称</w:t>
            </w:r>
          </w:p>
        </w:tc>
        <w:tc>
          <w:tcPr>
            <w:shd w:val="clear" w:color="auto" w:fill="E6E6E6"/>
            <w:vAlign w:val="center"/>
          </w:tcPr>
          <w:p>
            <w:pPr>
              <w:jc w:val="center"/>
            </w:pPr>
            <w:r>
              <w:t>路面</w:t>
            </w:r>
            <w:r>
              <w:br w:type="textWrapping"/>
            </w:r>
            <w:r>
              <w:t>材料</w:t>
            </w:r>
          </w:p>
        </w:tc>
        <w:tc>
          <w:tcPr>
            <w:shd w:val="clear" w:color="auto" w:fill="E6E6E6"/>
            <w:vAlign w:val="center"/>
          </w:tcPr>
          <w:p>
            <w:pPr>
              <w:jc w:val="center"/>
            </w:pPr>
            <w:r>
              <w:t>车道</w:t>
            </w:r>
            <w:r>
              <w:br w:type="textWrapping"/>
            </w:r>
            <w:r>
              <w:t>数量</w:t>
            </w:r>
          </w:p>
        </w:tc>
        <w:tc>
          <w:tcPr>
            <w:shd w:val="clear" w:color="auto" w:fill="E6E6E6"/>
            <w:vAlign w:val="center"/>
          </w:tcPr>
          <w:p>
            <w:pPr>
              <w:jc w:val="center"/>
            </w:pPr>
            <w:r>
              <w:t>时段</w:t>
            </w:r>
          </w:p>
        </w:tc>
        <w:tc>
          <w:tcPr>
            <w:shd w:val="clear" w:color="auto" w:fill="E6E6E6"/>
            <w:vAlign w:val="center"/>
          </w:tcPr>
          <w:p>
            <w:pPr>
              <w:jc w:val="center"/>
            </w:pPr>
            <w:r>
              <w:t>设计车速</w:t>
            </w:r>
            <w:r>
              <w:br w:type="textWrapping"/>
            </w:r>
            <w:r>
              <w:t>km/h</w:t>
            </w:r>
          </w:p>
        </w:tc>
        <w:tc>
          <w:tcPr>
            <w:shd w:val="clear" w:color="auto" w:fill="E6E6E6"/>
            <w:vAlign w:val="center"/>
          </w:tcPr>
          <w:p>
            <w:pPr>
              <w:jc w:val="center"/>
            </w:pPr>
            <w:r>
              <w:t>小型车</w:t>
            </w:r>
            <w:r>
              <w:br w:type="textWrapping"/>
            </w:r>
            <w:r>
              <w:t>辆/h</w:t>
            </w:r>
          </w:p>
        </w:tc>
        <w:tc>
          <w:tcPr>
            <w:shd w:val="clear" w:color="auto" w:fill="E6E6E6"/>
            <w:vAlign w:val="center"/>
          </w:tcPr>
          <w:p>
            <w:pPr>
              <w:jc w:val="center"/>
            </w:pPr>
            <w:r>
              <w:t>中型车</w:t>
            </w:r>
            <w:r>
              <w:br w:type="textWrapping"/>
            </w:r>
            <w:r>
              <w:t>辆/h</w:t>
            </w:r>
          </w:p>
        </w:tc>
        <w:tc>
          <w:tcPr>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公路</w:t>
            </w:r>
          </w:p>
        </w:tc>
        <w:tc>
          <w:tcPr>
            <w:vMerge w:val="restart"/>
            <w:vAlign w:val="center"/>
          </w:tcPr>
          <w:p>
            <w:pPr>
              <w:jc w:val="center"/>
            </w:pPr>
            <w:r>
              <w:t>水泥</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80</w:t>
            </w:r>
          </w:p>
        </w:tc>
        <w:tc>
          <w:tcPr>
            <w:vAlign w:val="center"/>
          </w:tcPr>
          <w:p>
            <w:pPr>
              <w:jc w:val="center"/>
            </w:pPr>
            <w:r>
              <w:t>281</w:t>
            </w:r>
          </w:p>
        </w:tc>
        <w:tc>
          <w:tcPr>
            <w:vAlign w:val="center"/>
          </w:tcPr>
          <w:p>
            <w:pPr>
              <w:jc w:val="center"/>
            </w:pPr>
            <w:r>
              <w:t>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80</w:t>
            </w:r>
          </w:p>
        </w:tc>
        <w:tc>
          <w:tcPr>
            <w:vAlign w:val="center"/>
          </w:tcPr>
          <w:p>
            <w:pPr>
              <w:jc w:val="center"/>
            </w:pPr>
            <w:r>
              <w:t>63</w:t>
            </w:r>
          </w:p>
        </w:tc>
        <w:tc>
          <w:tcPr>
            <w:vAlign w:val="center"/>
          </w:tcPr>
          <w:p>
            <w:pPr>
              <w:jc w:val="center"/>
            </w:pPr>
            <w:r>
              <w:t>0</w:t>
            </w:r>
          </w:p>
        </w:tc>
        <w:tc>
          <w:tcPr>
            <w:vAlign w:val="center"/>
          </w:tcPr>
          <w:p>
            <w:pPr>
              <w:jc w:val="center"/>
            </w:pPr>
            <w:r>
              <w:t>0</w:t>
            </w:r>
          </w:p>
        </w:tc>
      </w:tr>
    </w:tbl>
    <w:p>
      <w:pPr>
        <w:jc w:val="center"/>
      </w:pPr>
    </w:p>
    <w:p/>
    <w:p>
      <w:pPr>
        <w:pStyle w:val="2"/>
        <w:spacing w:line="400" w:lineRule="exact"/>
        <w:rPr>
          <w:rFonts w:ascii="Times New Roman" w:hAnsi="Times New Roman"/>
          <w:sz w:val="28"/>
          <w:szCs w:val="28"/>
        </w:rPr>
      </w:pPr>
      <w:bookmarkStart w:id="36" w:name="_Toc479326727"/>
      <w:bookmarkStart w:id="37" w:name="_Toc8182"/>
      <w:r>
        <w:rPr>
          <w:rFonts w:hint="eastAsia" w:ascii="Times New Roman" w:hAnsi="Times New Roman"/>
          <w:sz w:val="28"/>
          <w:szCs w:val="28"/>
        </w:rPr>
        <w:t>4.模拟结果</w:t>
      </w:r>
      <w:r>
        <w:rPr>
          <w:rFonts w:ascii="Times New Roman" w:hAnsi="Times New Roman"/>
          <w:sz w:val="28"/>
          <w:szCs w:val="28"/>
        </w:rPr>
        <w:t>及分析</w:t>
      </w:r>
      <w:bookmarkEnd w:id="36"/>
      <w:bookmarkEnd w:id="37"/>
      <w:r>
        <w:rPr>
          <w:rFonts w:hint="eastAsia" w:ascii="Times New Roman" w:hAnsi="Times New Roman"/>
          <w:sz w:val="28"/>
          <w:szCs w:val="28"/>
        </w:rPr>
        <w:t xml:space="preserve"> </w:t>
      </w:r>
    </w:p>
    <w:p>
      <w:pPr>
        <w:ind w:firstLine="420" w:firstLineChars="200"/>
      </w:pPr>
      <w:bookmarkStart w:id="38"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9" w:name="_Toc21216"/>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8"/>
      <w:bookmarkEnd w:id="39"/>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40" w:name="场地分布图昼"/>
      <w:bookmarkEnd w:id="40"/>
      <w:r>
        <w:drawing>
          <wp:inline distT="0" distB="0" distL="0" distR="0">
            <wp:extent cx="5667375" cy="51911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-1</w:t>
      </w:r>
      <w:r>
        <w:rPr>
          <w:rFonts w:hint="eastAsia"/>
          <w:kern w:val="0"/>
          <w:sz w:val="18"/>
          <w:szCs w:val="18"/>
        </w:rPr>
        <w:t xml:space="preserve"> 场地1.</w:t>
      </w:r>
      <w:r>
        <w:rPr>
          <w:kern w:val="0"/>
          <w:sz w:val="18"/>
          <w:szCs w:val="18"/>
        </w:rPr>
        <w:t>5m高度处</w:t>
      </w:r>
      <w:r>
        <w:rPr>
          <w:rFonts w:hint="eastAsia"/>
          <w:kern w:val="0"/>
          <w:sz w:val="18"/>
          <w:szCs w:val="18"/>
        </w:rPr>
        <w:t>声压级</w:t>
      </w:r>
      <w:r>
        <w:rPr>
          <w:kern w:val="0"/>
          <w:sz w:val="18"/>
          <w:szCs w:val="18"/>
        </w:rPr>
        <w:t>分布图（</w:t>
      </w:r>
      <w:r>
        <w:rPr>
          <w:rFonts w:hint="eastAsia"/>
          <w:kern w:val="0"/>
          <w:sz w:val="18"/>
          <w:szCs w:val="18"/>
        </w:rPr>
        <w:t>昼间</w:t>
      </w:r>
      <w:r>
        <w:rPr>
          <w:kern w:val="0"/>
          <w:sz w:val="18"/>
          <w:szCs w:val="18"/>
        </w:rPr>
        <w:t>）</w:t>
      </w:r>
    </w:p>
    <w:p>
      <w:pPr>
        <w:jc w:val="center"/>
        <w:rPr>
          <w:rFonts w:ascii="Times New Roman" w:hAnsi="Times New Roman"/>
        </w:rPr>
      </w:pPr>
      <w:bookmarkStart w:id="41" w:name="场地分布图夜"/>
      <w:bookmarkEnd w:id="41"/>
      <w:r>
        <w:drawing>
          <wp:inline distT="0" distB="0" distL="0" distR="0">
            <wp:extent cx="5667375" cy="5191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 xml:space="preserve">-2 </w:t>
      </w:r>
      <w:r>
        <w:rPr>
          <w:rFonts w:hint="eastAsia"/>
          <w:kern w:val="0"/>
          <w:sz w:val="18"/>
          <w:szCs w:val="18"/>
        </w:rPr>
        <w:t>场地1.</w:t>
      </w:r>
      <w:r>
        <w:rPr>
          <w:kern w:val="0"/>
          <w:sz w:val="18"/>
          <w:szCs w:val="18"/>
        </w:rPr>
        <w:t>5m高度处</w:t>
      </w:r>
      <w:r>
        <w:rPr>
          <w:rFonts w:hint="eastAsia"/>
          <w:kern w:val="0"/>
          <w:sz w:val="18"/>
          <w:szCs w:val="18"/>
        </w:rPr>
        <w:t>声压级</w:t>
      </w:r>
      <w:r>
        <w:rPr>
          <w:kern w:val="0"/>
          <w:sz w:val="18"/>
          <w:szCs w:val="18"/>
        </w:rPr>
        <w:t>分布图（</w:t>
      </w:r>
      <w:r>
        <w:rPr>
          <w:rFonts w:hint="eastAsia"/>
          <w:kern w:val="0"/>
          <w:sz w:val="18"/>
          <w:szCs w:val="18"/>
        </w:rPr>
        <w:t>夜间</w:t>
      </w:r>
      <w:r>
        <w:rPr>
          <w:kern w:val="0"/>
          <w:sz w:val="18"/>
          <w:szCs w:val="18"/>
        </w:rPr>
        <w:t>）</w:t>
      </w:r>
    </w:p>
    <w:p>
      <w:pPr>
        <w:jc w:val="center"/>
        <w:rPr>
          <w:rFonts w:ascii="Times New Roman" w:hAnsi="Times New Roman"/>
        </w:rPr>
      </w:pPr>
      <w:bookmarkStart w:id="42" w:name="场地噪声分布俯瞰昼"/>
      <w:bookmarkEnd w:id="42"/>
      <w:r>
        <w:drawing>
          <wp:inline distT="0" distB="0" distL="0" distR="0">
            <wp:extent cx="5667375" cy="5191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-3</w:t>
      </w:r>
      <w:r>
        <w:rPr>
          <w:rFonts w:hint="eastAsia"/>
          <w:kern w:val="0"/>
          <w:sz w:val="18"/>
          <w:szCs w:val="18"/>
        </w:rPr>
        <w:t xml:space="preserve">  场地噪声分布俯瞰图（昼间）</w:t>
      </w:r>
    </w:p>
    <w:p>
      <w:pPr>
        <w:widowControl/>
        <w:jc w:val="center"/>
        <w:rPr>
          <w:rFonts w:ascii="宋体" w:hAnsi="宋体"/>
          <w:szCs w:val="21"/>
        </w:rPr>
      </w:pPr>
      <w:bookmarkStart w:id="43" w:name="场地噪声分布俯瞰夜"/>
      <w:bookmarkEnd w:id="43"/>
      <w:r>
        <w:drawing>
          <wp:inline distT="0" distB="0" distL="0" distR="0">
            <wp:extent cx="5667375" cy="51911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kern w:val="0"/>
          <w:sz w:val="18"/>
          <w:szCs w:val="18"/>
        </w:rPr>
      </w:pPr>
      <w:r>
        <w:rPr>
          <w:rFonts w:hint="eastAsia"/>
          <w:kern w:val="0"/>
          <w:sz w:val="18"/>
          <w:szCs w:val="18"/>
        </w:rPr>
        <w:t>图4.1</w:t>
      </w:r>
      <w:r>
        <w:rPr>
          <w:kern w:val="0"/>
          <w:sz w:val="18"/>
          <w:szCs w:val="18"/>
        </w:rPr>
        <w:t xml:space="preserve">-4  </w:t>
      </w:r>
      <w:r>
        <w:rPr>
          <w:rFonts w:hint="eastAsia"/>
          <w:kern w:val="0"/>
          <w:sz w:val="18"/>
          <w:szCs w:val="18"/>
        </w:rPr>
        <w:t>场地噪声分布俯瞰图（夜间）</w:t>
      </w:r>
    </w:p>
    <w:p>
      <w:pPr>
        <w:jc w:val="center"/>
        <w:rPr>
          <w:rFonts w:ascii="Times New Roman" w:hAnsi="Times New Roman"/>
          <w:b/>
          <w:color w:val="FF0000"/>
        </w:rPr>
      </w:pPr>
    </w:p>
    <w:p>
      <w:pPr>
        <w:pStyle w:val="3"/>
        <w:rPr>
          <w:sz w:val="24"/>
          <w:szCs w:val="24"/>
        </w:rPr>
      </w:pPr>
      <w:bookmarkStart w:id="44" w:name="_Toc479326729"/>
      <w:bookmarkStart w:id="45" w:name="_Toc14285"/>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4"/>
      <w:r>
        <w:rPr>
          <w:rFonts w:hint="eastAsia"/>
          <w:sz w:val="24"/>
          <w:szCs w:val="24"/>
        </w:rPr>
        <w:t>情况</w:t>
      </w:r>
      <w:bookmarkEnd w:id="45"/>
    </w:p>
    <w:p>
      <w:pPr>
        <w:spacing w:line="276" w:lineRule="auto"/>
        <w:ind w:firstLine="420"/>
        <w:rPr>
          <w:rFonts w:ascii="Times New Roman" w:hAnsi="Times New Roman" w:cs="宋体"/>
          <w:szCs w:val="21"/>
        </w:rPr>
      </w:pPr>
      <w:r>
        <w:rPr>
          <w:rFonts w:hint="eastAsia"/>
        </w:rPr>
        <w:t>参评建筑昼间和夜间沿底轮廓线1.5米分析高度处噪声分布情况，每栋参评建筑物俯视图圆圈内上下两个数字分别表示该建筑的昼间和夜间最大噪声值，红色填充代表该建筑昼间或夜间噪声值至少有一项超过三</w:t>
      </w:r>
      <w:r>
        <w:rPr>
          <w:rFonts w:hint="eastAsia" w:ascii="Times New Roman" w:hAnsi="Times New Roman" w:cs="宋体"/>
          <w:szCs w:val="21"/>
        </w:rPr>
        <w:t>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6" w:name="建筑附近声压分布图昼"/>
      <w:bookmarkEnd w:id="46"/>
      <w:r>
        <w:drawing>
          <wp:inline distT="0" distB="0" distL="0" distR="0">
            <wp:extent cx="5667375" cy="4552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4552950"/>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2-1</w:t>
      </w:r>
      <w:r>
        <w:rPr>
          <w:rFonts w:hint="eastAsia"/>
          <w:kern w:val="0"/>
          <w:sz w:val="18"/>
          <w:szCs w:val="18"/>
        </w:rPr>
        <w:t xml:space="preserve"> 参评建筑附近区域</w:t>
      </w:r>
      <w:r>
        <w:rPr>
          <w:kern w:val="0"/>
          <w:sz w:val="18"/>
          <w:szCs w:val="18"/>
        </w:rPr>
        <w:t>1.5m</w:t>
      </w:r>
      <w:r>
        <w:rPr>
          <w:rFonts w:hint="eastAsia"/>
          <w:kern w:val="0"/>
          <w:sz w:val="18"/>
          <w:szCs w:val="18"/>
        </w:rPr>
        <w:t>高度处声压级平面分布图（昼间）</w:t>
      </w:r>
    </w:p>
    <w:p>
      <w:pPr>
        <w:jc w:val="center"/>
        <w:rPr>
          <w:rFonts w:ascii="Times New Roman" w:hAnsi="Times New Roman"/>
        </w:rPr>
      </w:pPr>
      <w:bookmarkStart w:id="47" w:name="建筑附近声压分布图夜"/>
      <w:bookmarkEnd w:id="47"/>
      <w:r>
        <w:drawing>
          <wp:inline distT="0" distB="0" distL="0" distR="0">
            <wp:extent cx="5667375" cy="45529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4552950"/>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2-2</w:t>
      </w:r>
      <w:r>
        <w:rPr>
          <w:rFonts w:hint="eastAsia"/>
          <w:kern w:val="0"/>
          <w:sz w:val="18"/>
          <w:szCs w:val="18"/>
        </w:rPr>
        <w:t xml:space="preserve"> 参评建筑附近区域</w:t>
      </w:r>
      <w:r>
        <w:rPr>
          <w:kern w:val="0"/>
          <w:sz w:val="18"/>
          <w:szCs w:val="18"/>
        </w:rPr>
        <w:t>1.5m</w:t>
      </w:r>
      <w:r>
        <w:rPr>
          <w:rFonts w:hint="eastAsia"/>
          <w:kern w:val="0"/>
          <w:sz w:val="18"/>
          <w:szCs w:val="18"/>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6"/>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8" w:name="建筑附近声压分布鸟瞰图昼"/>
      <w:r>
        <w:drawing>
          <wp:inline distT="0" distB="0" distL="0" distR="0">
            <wp:extent cx="5667375" cy="28860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7"/>
                    <a:stretch>
                      <a:fillRect/>
                    </a:stretch>
                  </pic:blipFill>
                  <pic:spPr>
                    <a:xfrm>
                      <a:off x="0" y="0"/>
                      <a:ext cx="5667375" cy="2886075"/>
                    </a:xfrm>
                    <a:prstGeom prst="rect">
                      <a:avLst/>
                    </a:prstGeom>
                  </pic:spPr>
                </pic:pic>
              </a:graphicData>
            </a:graphic>
          </wp:inline>
        </w:drawing>
      </w:r>
    </w:p>
    <w:bookmarkEnd w:id="48"/>
    <w:p>
      <w:pPr>
        <w:widowControl/>
        <w:jc w:val="center"/>
        <w:rPr>
          <w:rFonts w:ascii="宋体" w:hAnsi="宋体"/>
          <w:szCs w:val="21"/>
        </w:rPr>
      </w:pPr>
    </w:p>
    <w:p>
      <w:pPr>
        <w:widowControl/>
        <w:tabs>
          <w:tab w:val="center" w:pos="4153"/>
          <w:tab w:val="right" w:pos="8306"/>
        </w:tabs>
        <w:rPr>
          <w:kern w:val="0"/>
          <w:sz w:val="18"/>
          <w:szCs w:val="18"/>
        </w:rPr>
      </w:pPr>
      <w:r>
        <w:rPr>
          <w:kern w:val="0"/>
          <w:sz w:val="18"/>
          <w:szCs w:val="18"/>
        </w:rPr>
        <w:tab/>
      </w:r>
      <w:r>
        <w:rPr>
          <w:rFonts w:hint="eastAsia"/>
          <w:kern w:val="0"/>
          <w:sz w:val="18"/>
          <w:szCs w:val="18"/>
        </w:rPr>
        <w:t>图4.</w:t>
      </w:r>
      <w:r>
        <w:rPr>
          <w:kern w:val="0"/>
          <w:sz w:val="18"/>
          <w:szCs w:val="18"/>
        </w:rPr>
        <w:t>2-3</w:t>
      </w:r>
      <w:r>
        <w:rPr>
          <w:rFonts w:hint="eastAsia"/>
          <w:kern w:val="0"/>
          <w:sz w:val="18"/>
          <w:szCs w:val="18"/>
        </w:rPr>
        <w:t xml:space="preserve"> 参评建筑附近区域声压级鸟瞰分布图（昼间）</w:t>
      </w:r>
      <w:r>
        <w:rPr>
          <w:kern w:val="0"/>
          <w:sz w:val="18"/>
          <w:szCs w:val="18"/>
        </w:rPr>
        <w:tab/>
      </w:r>
    </w:p>
    <w:p>
      <w:pPr>
        <w:widowControl/>
        <w:jc w:val="center"/>
        <w:rPr>
          <w:rFonts w:ascii="宋体" w:hAnsi="宋体"/>
          <w:szCs w:val="21"/>
        </w:rPr>
      </w:pPr>
    </w:p>
    <w:p>
      <w:pPr>
        <w:widowControl/>
        <w:jc w:val="center"/>
        <w:rPr>
          <w:rFonts w:ascii="宋体" w:hAnsi="宋体"/>
          <w:szCs w:val="21"/>
        </w:rPr>
      </w:pPr>
      <w:bookmarkStart w:id="49" w:name="建筑附近声压分布鸟瞰图夜"/>
      <w:bookmarkEnd w:id="49"/>
      <w:r>
        <w:drawing>
          <wp:inline distT="0" distB="0" distL="0" distR="0">
            <wp:extent cx="5667375" cy="28860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8"/>
                    <a:stretch>
                      <a:fillRect/>
                    </a:stretch>
                  </pic:blipFill>
                  <pic:spPr>
                    <a:xfrm>
                      <a:off x="0" y="0"/>
                      <a:ext cx="5667375" cy="2886075"/>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2-4</w:t>
      </w:r>
      <w:r>
        <w:rPr>
          <w:rFonts w:hint="eastAsia"/>
          <w:kern w:val="0"/>
          <w:sz w:val="18"/>
          <w:szCs w:val="18"/>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表4</w:t>
      </w:r>
      <w:r>
        <w:rPr>
          <w:kern w:val="0"/>
          <w:sz w:val="18"/>
          <w:szCs w:val="18"/>
        </w:rPr>
        <w:t xml:space="preserve">.2 </w:t>
      </w:r>
      <w:r>
        <w:rPr>
          <w:rFonts w:hint="eastAsia"/>
          <w:kern w:val="0"/>
          <w:sz w:val="18"/>
          <w:szCs w:val="18"/>
        </w:rPr>
        <w:t xml:space="preserve">参评建筑达标统计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pPr>
            <w:r>
              <w:t>立面网格点</w:t>
            </w:r>
            <w:r>
              <w:br w:type="textWrapping"/>
            </w:r>
            <w:r>
              <w:t>噪声最大值</w:t>
            </w:r>
          </w:p>
        </w:tc>
        <w:tc>
          <w:tcPr>
            <w:shd w:val="clear" w:color="auto" w:fill="E6E6E6"/>
            <w:vAlign w:val="center"/>
          </w:tcPr>
          <w:p>
            <w:pPr>
              <w:jc w:val="center"/>
            </w:pPr>
            <w:r>
              <w:t>2类</w:t>
            </w:r>
            <w:r>
              <w:br w:type="textWrapping"/>
            </w:r>
            <w:r>
              <w:t>噪声限值</w:t>
            </w:r>
          </w:p>
        </w:tc>
        <w:tc>
          <w:tcPr>
            <w:shd w:val="clear" w:color="auto" w:fill="E6E6E6"/>
            <w:vAlign w:val="center"/>
          </w:tcPr>
          <w:p>
            <w:pPr>
              <w:jc w:val="center"/>
            </w:pPr>
            <w:r>
              <w:t>3类</w:t>
            </w:r>
            <w:r>
              <w:br w:type="textWrapping"/>
            </w:r>
            <w:r>
              <w:t>噪声限值</w:t>
            </w:r>
          </w:p>
        </w:tc>
        <w:tc>
          <w:tcPr>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教学楼</w:t>
            </w:r>
          </w:p>
        </w:tc>
        <w:tc>
          <w:tcPr>
            <w:vAlign w:val="center"/>
          </w:tcPr>
          <w:p>
            <w:pPr>
              <w:jc w:val="center"/>
            </w:pPr>
            <w:r>
              <w:t>昼间</w:t>
            </w:r>
          </w:p>
        </w:tc>
        <w:tc>
          <w:tcPr>
            <w:vAlign w:val="center"/>
          </w:tcPr>
          <w:p>
            <w:pPr>
              <w:jc w:val="center"/>
            </w:pPr>
            <w:r>
              <w:t>64</w:t>
            </w:r>
          </w:p>
        </w:tc>
        <w:tc>
          <w:tcPr>
            <w:vAlign w:val="center"/>
          </w:tcPr>
          <w:p>
            <w:pPr>
              <w:jc w:val="center"/>
            </w:pPr>
            <w:r>
              <w:t>60</w:t>
            </w:r>
          </w:p>
        </w:tc>
        <w:tc>
          <w:tcPr>
            <w:vAlign w:val="center"/>
          </w:tcPr>
          <w:p>
            <w:pPr>
              <w:jc w:val="center"/>
            </w:pPr>
            <w:r>
              <w:t>65</w:t>
            </w:r>
          </w:p>
        </w:tc>
        <w:tc>
          <w:tcPr>
            <w:vMerge w:val="restart"/>
            <w:vAlign w:val="center"/>
          </w:tcPr>
          <w:p>
            <w:pPr>
              <w:jc w:val="center"/>
            </w:pPr>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58</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szCs w:val="21"/>
        </w:rPr>
      </w:pPr>
      <w:bookmarkStart w:id="50" w:name="建筑物噪声最大值统计表格"/>
      <w:bookmarkEnd w:id="50"/>
    </w:p>
    <w:p>
      <w:pPr>
        <w:pStyle w:val="2"/>
        <w:rPr>
          <w:rFonts w:ascii="Times New Roman" w:hAnsi="Times New Roman"/>
          <w:sz w:val="28"/>
          <w:szCs w:val="28"/>
        </w:rPr>
      </w:pPr>
      <w:bookmarkStart w:id="51" w:name="_Toc479326730"/>
      <w:bookmarkStart w:id="52" w:name="_Toc4984"/>
      <w:r>
        <w:rPr>
          <w:rFonts w:hint="eastAsia" w:ascii="Times New Roman" w:hAnsi="Times New Roman"/>
          <w:sz w:val="28"/>
          <w:szCs w:val="28"/>
        </w:rPr>
        <w:t>5.结论</w:t>
      </w:r>
      <w:bookmarkEnd w:id="51"/>
      <w:bookmarkEnd w:id="52"/>
    </w:p>
    <w:p>
      <w:pPr>
        <w:ind w:firstLine="420" w:firstLineChars="200"/>
        <w:rPr>
          <w:rFonts w:ascii="Times New Roman" w:hAnsi="Times New Roman"/>
          <w:szCs w:val="21"/>
        </w:rPr>
      </w:pPr>
      <w:bookmarkStart w:id="53" w:name="标准名称4"/>
      <w:r>
        <w:rPr>
          <w:rFonts w:hint="eastAsia"/>
        </w:rPr>
        <w:t>河北省《绿色建筑评价标准》DB13(J)/T 8352-2020</w:t>
      </w:r>
      <w:bookmarkEnd w:id="53"/>
      <w:r>
        <w:rPr>
          <w:rFonts w:hint="eastAsia" w:ascii="Times New Roman" w:hAnsi="Times New Roman"/>
          <w:szCs w:val="21"/>
        </w:rPr>
        <w:t>要求:</w:t>
      </w:r>
    </w:p>
    <w:p>
      <w:bookmarkStart w:id="54" w:name="室外条文内容1"/>
      <w:bookmarkEnd w:id="54"/>
      <w:r>
        <w:rPr>
          <w:rFonts w:hint="eastAsia"/>
        </w:rPr>
        <w:t xml:space="preserve"> </w:t>
      </w:r>
      <w:r>
        <w:t xml:space="preserve"> </w:t>
      </w:r>
      <w:r>
        <w:rPr>
          <w:rFonts w:hint="eastAsia"/>
        </w:rPr>
        <w:t xml:space="preserve"> </w:t>
      </w:r>
      <w:r>
        <w:t>8.2.6 场地内的环境噪声优于现行国家标准《声环境质量标准》GB 3096 的要求，评价总分值为 10分，并按下列规则评分：</w:t>
      </w:r>
    </w:p>
    <w:p>
      <w:r>
        <w:t xml:space="preserve">    1 环境噪声值大于 2 类声环境功能区标准限值，且小于等于 3 类声环境功能区标准限值，得 5 分；</w:t>
      </w:r>
    </w:p>
    <w:p>
      <w:r>
        <w:t xml:space="preserve">    2 环境噪声值小于等于 2 类声环境功能区标准限值，得 10 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
              </w:rPr>
            </w:pPr>
            <w:bookmarkStart w:id="55" w:name="昼间噪声最大值"/>
            <w:r>
              <w:rPr>
                <w:b/>
              </w:rPr>
              <w:t>64</w:t>
            </w:r>
            <w:bookmarkEnd w:id="55"/>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6" w:name="得分情况"/>
            <w:r>
              <w:rPr>
                <w:b/>
                <w:bCs/>
                <w:color w:val="FF0000"/>
              </w:rPr>
              <w:t>0</w:t>
            </w:r>
            <w:bookmarkEnd w:id="56"/>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7" w:name="夜间噪声最大值"/>
            <w:r>
              <w:rPr>
                <w:b/>
              </w:rPr>
              <w:t>58</w:t>
            </w:r>
            <w:bookmarkEnd w:id="57"/>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ind w:firstLine="210" w:firstLineChars="100"/>
      </w:pPr>
      <w:r>
        <w:rPr>
          <w:rFonts w:hint="eastAsia" w:ascii="宋体" w:hAnsi="Calibri"/>
        </w:rPr>
        <w:t>综上所述，经过软件模拟和结果统计分析，最终判定本项目</w:t>
      </w:r>
      <w:bookmarkStart w:id="58" w:name="满足结论"/>
      <w:r>
        <w:rPr>
          <w:rFonts w:hint="eastAsia"/>
          <w:b/>
          <w:color w:val="FF0000"/>
        </w:rPr>
        <w:t>不满足</w:t>
      </w:r>
      <w:bookmarkEnd w:id="58"/>
      <w:r>
        <w:rPr>
          <w:rFonts w:hint="eastAsia"/>
          <w:b/>
        </w:rPr>
        <w:t xml:space="preserve"> </w:t>
      </w:r>
      <w:bookmarkStart w:id="59" w:name="标准名称3"/>
      <w:r>
        <w:rPr>
          <w:rFonts w:hint="eastAsia"/>
        </w:rPr>
        <w:t>河北省《绿色建筑评价标准》DB13(J)/T 8352-2020</w:t>
      </w:r>
      <w:bookmarkEnd w:id="59"/>
      <w:r>
        <w:rPr>
          <w:rFonts w:hint="eastAsia"/>
        </w:rPr>
        <w:t>地方标准</w:t>
      </w:r>
      <w:bookmarkStart w:id="60" w:name="室外条文编号"/>
      <w:r>
        <w:rPr>
          <w:rFonts w:hint="eastAsia"/>
        </w:rPr>
        <w:t>相关条文</w:t>
      </w:r>
      <w:bookmarkEnd w:id="60"/>
      <w:r>
        <w:rPr>
          <w:rFonts w:hint="eastAsia"/>
        </w:rPr>
        <w:t>要求，</w:t>
      </w:r>
      <w:bookmarkStart w:id="61" w:name="得分结论"/>
      <w:r>
        <w:rPr>
          <w:b/>
          <w:color w:val="FF0000"/>
        </w:rPr>
        <w:t>不得分</w:t>
      </w:r>
      <w:bookmarkEnd w:id="61"/>
      <w:r>
        <w:rPr>
          <w:rFonts w:hint="eastAsia"/>
          <w:b/>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kern w:val="0"/>
        <w:sz w:val="21"/>
        <w:szCs w:val="20"/>
        <w:lang w:val="en-GB"/>
      </w:rPr>
      <w:t>http://www.gbsware.cn/</w:t>
    </w:r>
    <w:r>
      <w:rPr>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r>
      <w:rPr>
        <w:rFonts w:hint="eastAsia"/>
        <w:sz w:val="21"/>
        <w:szCs w:val="21"/>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76F156F"/>
    <w:multiLevelType w:val="multilevel"/>
    <w:tmpl w:val="576F156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docVars>
    <w:docVar w:name="commondata" w:val="eyJoZGlkIjoiMDVlY2MxMGMxZDM5YWVlMGZlZDE0NzdiOTMzZmI1OTkifQ=="/>
  </w:docVars>
  <w:rsids>
    <w:rsidRoot w:val="00217F62"/>
    <w:rsid w:val="001915A3"/>
    <w:rsid w:val="00217F62"/>
    <w:rsid w:val="00A906D8"/>
    <w:rsid w:val="00AB5A74"/>
    <w:rsid w:val="00F071AE"/>
    <w:rsid w:val="52674CF7"/>
    <w:rsid w:val="622A323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bmp"/><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0BD51-AF4A-4DD0-8E37-F73A4B0962D6}">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Company>北京绿建软件有限公司</Company>
  <Pages>6</Pages>
  <Words>565</Words>
  <Characters>3224</Characters>
  <Lines>26</Lines>
  <Paragraphs>7</Paragraphs>
  <TotalTime>0</TotalTime>
  <ScaleCrop>false</ScaleCrop>
  <LinksUpToDate>false</LinksUpToDate>
  <CharactersWithSpaces>3782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admin</cp:lastModifiedBy>
  <cp:lastPrinted>2016-08-03T02:42:00Z</cp:lastPrinted>
  <dcterms:modified xsi:type="dcterms:W3CDTF">2023-12-12T07:09:25Z</dcterms:modified>
  <dc:title>总图_t8室外噪声分析报告</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8028935C74494439A663B08FA3BDE8DE_12</vt:lpwstr>
  </property>
</Properties>
</file>