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新乐市马头铺学区内营小学改扩建教学楼项目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新乐市马头铺学区内营小学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新中远工程设计有限公司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2023年11月21日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T15231600581</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441480674"/>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lang w:val="en-US"/>
              </w:rPr>
            </w:pPr>
            <w:bookmarkStart w:id="12" w:name="工程名称"/>
            <w:r>
              <w:t>新乐市马头铺学区内营小学改扩建教学楼项目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056" w:type="dxa"/>
          </w:tcPr>
          <w:p>
            <w:pPr>
              <w:pStyle w:val="3"/>
              <w:rPr>
                <w:lang w:val="en-US"/>
              </w:rPr>
            </w:pPr>
            <w:r>
              <w:rPr>
                <w:rFonts w:hint="eastAsia"/>
                <w:lang w:val="en-US"/>
              </w:rPr>
              <w:t>地上</w:t>
            </w:r>
            <w:r>
              <w:rPr>
                <w:rFonts w:hint="eastAsia"/>
                <w:lang w:val="en-US" w:eastAsia="zh-CN"/>
              </w:rPr>
              <w:t>2213.89</w:t>
            </w:r>
            <w:r>
              <w:rPr>
                <w:rFonts w:hint="eastAsia"/>
                <w:lang w:val="en-US"/>
              </w:rPr>
              <w:t xml:space="preserve">    地下</w:t>
            </w:r>
            <w:bookmarkStart w:id="13" w:name="地下建筑面积"/>
            <w:r>
              <w:rPr>
                <w:rFonts w:hint="eastAsia"/>
                <w:lang w:val="en-US"/>
              </w:rP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lang w:val="en-US"/>
              </w:rPr>
            </w:pPr>
            <w:r>
              <w:rPr>
                <w:rFonts w:hint="eastAsia"/>
                <w:lang w:val="en-US"/>
              </w:rPr>
              <w:t>地上</w:t>
            </w:r>
            <w:bookmarkStart w:id="14" w:name="地上建筑层数"/>
            <w:r>
              <w:rPr>
                <w:rFonts w:hint="eastAsia"/>
                <w:lang w:val="en-US"/>
              </w:rPr>
              <w:t>3</w:t>
            </w:r>
            <w:bookmarkEnd w:id="14"/>
            <w:r>
              <w:rPr>
                <w:rFonts w:hint="eastAsia"/>
                <w:lang w:val="en-US"/>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lang w:val="en-US"/>
              </w:rPr>
            </w:pPr>
            <w:r>
              <w:rPr>
                <w:rFonts w:hint="eastAsia"/>
                <w:lang w:val="en-US"/>
              </w:rPr>
              <w:t>地上</w:t>
            </w:r>
            <w:r>
              <w:rPr>
                <w:rFonts w:hint="eastAsia"/>
                <w:lang w:val="en-US" w:eastAsia="zh-CN"/>
              </w:rPr>
              <w:t>12.25</w:t>
            </w:r>
            <w:r>
              <w:rPr>
                <w:rFonts w:hint="eastAsia"/>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lang w:val="en-US"/>
              </w:rPr>
            </w:pPr>
            <w:bookmarkStart w:id="16" w:name="北向角度"/>
            <w:r>
              <w:t>90</w:t>
            </w:r>
            <w:bookmarkEnd w:id="16"/>
          </w:p>
        </w:tc>
      </w:tr>
    </w:tbl>
    <w:p>
      <w:pPr>
        <w:jc w:val="center"/>
        <w:rPr>
          <w:lang w:val="en-US"/>
        </w:rPr>
      </w:pPr>
      <w:bookmarkStart w:id="17" w:name="围护结构概况"/>
      <w:bookmarkEnd w:id="17"/>
      <w:bookmarkStart w:id="18" w:name="单体模型观察图"/>
      <w:bookmarkEnd w:id="18"/>
      <w:bookmarkStart w:id="19" w:name="_Toc441480675"/>
      <w:r>
        <w:rPr>
          <w:lang w:val="en-US"/>
        </w:rPr>
        <w:drawing>
          <wp:inline distT="0" distB="0" distL="114300" distR="114300">
            <wp:extent cx="5755640" cy="3189605"/>
            <wp:effectExtent l="0" t="0" r="16510" b="10795"/>
            <wp:docPr id="11" name="图片 11" descr="175b218396734c238d584616b9b05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b218396734c238d584616b9b05b3"/>
                    <pic:cNvPicPr>
                      <a:picLocks noChangeAspect="1"/>
                    </pic:cNvPicPr>
                  </pic:nvPicPr>
                  <pic:blipFill>
                    <a:blip r:embed="rId8"/>
                    <a:stretch>
                      <a:fillRect/>
                    </a:stretch>
                  </pic:blipFill>
                  <pic:spPr>
                    <a:xfrm>
                      <a:off x="0" y="0"/>
                      <a:ext cx="5755640" cy="3189605"/>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r>
        <w:rPr>
          <w:rFonts w:hint="eastAsia"/>
        </w:rPr>
        <w:t>评价依据</w:t>
      </w:r>
      <w:bookmarkEnd w:id="19"/>
    </w:p>
    <w:p>
      <w:pPr>
        <w:pStyle w:val="3"/>
        <w:numPr>
          <w:ilvl w:val="0"/>
          <w:numId w:val="2"/>
        </w:numPr>
        <w:rPr>
          <w:lang w:val="en-US"/>
        </w:rPr>
      </w:pPr>
      <w:bookmarkStart w:id="20" w:name="标准名称1"/>
      <w:r>
        <w:t>河北省《绿色建筑评价标准》DB13(J)/T 8</w:t>
      </w:r>
      <w:r>
        <w:rPr>
          <w:rFonts w:hint="eastAsia"/>
          <w:lang w:val="en-US" w:eastAsia="zh-CN"/>
        </w:rPr>
        <w:t>427</w:t>
      </w:r>
      <w:r>
        <w:t>-202</w:t>
      </w:r>
      <w:bookmarkEnd w:id="20"/>
      <w:r>
        <w:rPr>
          <w:rFonts w:hint="eastAsia"/>
          <w:lang w:val="en-US" w:eastAsia="zh-CN"/>
        </w:rPr>
        <w:t>1</w:t>
      </w:r>
    </w:p>
    <w:p>
      <w:pPr>
        <w:pStyle w:val="3"/>
        <w:numPr>
          <w:ilvl w:val="0"/>
          <w:numId w:val="2"/>
        </w:numPr>
        <w:rPr>
          <w:lang w:val="en-US"/>
        </w:rPr>
      </w:pPr>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r>
        <w:rPr>
          <w:rFonts w:hint="eastAsia"/>
        </w:rPr>
        <w:t>标准</w:t>
      </w:r>
      <w:r>
        <w:t>要求</w:t>
      </w:r>
    </w:p>
    <w:p>
      <w:pPr>
        <w:pStyle w:val="3"/>
        <w:ind w:firstLine="420" w:firstLineChars="200"/>
      </w:pPr>
      <w:bookmarkStart w:id="21" w:name="标准名称3"/>
      <w:r>
        <w:rPr>
          <w:rFonts w:hint="eastAsia"/>
        </w:rPr>
        <w:t>河北省《绿色建筑评价标准》DB13(J)/T 8</w:t>
      </w:r>
      <w:r>
        <w:rPr>
          <w:rFonts w:hint="eastAsia"/>
          <w:lang w:val="en-US" w:eastAsia="zh-CN"/>
        </w:rPr>
        <w:t>427</w:t>
      </w:r>
      <w:bookmarkStart w:id="49" w:name="_GoBack"/>
      <w:bookmarkEnd w:id="49"/>
      <w:r>
        <w:rPr>
          <w:rFonts w:hint="eastAsia"/>
        </w:rPr>
        <w:t>-202</w:t>
      </w:r>
      <w:bookmarkEnd w:id="21"/>
      <w:r>
        <w:rPr>
          <w:rFonts w:hint="eastAsia"/>
          <w:lang w:val="en-US" w:eastAsia="zh-CN"/>
        </w:rPr>
        <w:t>1</w:t>
      </w:r>
      <w:r>
        <w:rPr>
          <w:rFonts w:hint="eastAsia"/>
        </w:rPr>
        <w:t>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left="360"/>
      </w:pPr>
      <w:bookmarkStart w:id="22" w:name="室内构件隔声条文内容1"/>
      <w:bookmarkEnd w:id="22"/>
      <w:r>
        <w:t>5.2.7 主要功能房间的隔声性能良好，评价总分值为 10 分，按下列规则分别评分并累计：</w:t>
      </w:r>
    </w:p>
    <w:p>
      <w:pPr>
        <w:pStyle w:val="3"/>
        <w:ind w:left="360"/>
      </w:pPr>
      <w:r>
        <w:t xml:space="preserve">    1 构件及相邻房间之间的空气声隔声性能达到现行国家标准《民用建筑隔声设计规范》GB 50118 中的低限标准限值和高要求标准限值的平均值，且高于低限标准限值 3dB，得 3 分；达到高要求标准限值，得 5 分；</w:t>
      </w:r>
    </w:p>
    <w:p>
      <w:pPr>
        <w:pStyle w:val="3"/>
        <w:ind w:left="360"/>
      </w:pPr>
      <w:r>
        <w:t xml:space="preserve">    2 增加楼板厚度或采用浮筑楼板、弹性面层、隔声吊顶、阻尼板等措施加强楼板撞击声隔声性能，楼板的撞击声隔声性达到现行国家标准《民用建筑隔声设计规范》GB 50118 中的低限标准限值和高要求标准限值的平均值，且低于低限标准限值 3dB，得3 分；达到高要求标准限值，得 5 分。</w:t>
      </w:r>
    </w:p>
    <w:p>
      <w:pPr>
        <w:pStyle w:val="2"/>
        <w:ind w:left="669" w:hanging="669"/>
        <w:rPr>
          <w:kern w:val="2"/>
        </w:rPr>
      </w:pPr>
      <w:bookmarkStart w:id="23" w:name="_Toc441480676"/>
      <w:bookmarkStart w:id="24" w:name="_Toc438716944"/>
      <w:r>
        <w:rPr>
          <w:rFonts w:hint="eastAsia"/>
          <w:kern w:val="2"/>
        </w:rPr>
        <w:t>隔声理论概述</w:t>
      </w:r>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r>
        <w:rPr>
          <w:rFonts w:hint="eastAsia"/>
        </w:rPr>
        <w:t>原理概要</w:t>
      </w:r>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5pt;width:54.7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5" w:name="_Toc503800668"/>
      <w:bookmarkStart w:id="26" w:name="_Toc503275877"/>
      <w:bookmarkStart w:id="27" w:name="_Toc503800603"/>
      <w:r>
        <w:rPr>
          <w:rFonts w:hint="eastAsia"/>
        </w:rPr>
        <w:t>质量定律</w:t>
      </w:r>
      <w:bookmarkEnd w:id="25"/>
      <w:bookmarkEnd w:id="26"/>
      <w:bookmarkEnd w:id="27"/>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45pt;width:107.1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r>
        <w:t>隔声</w:t>
      </w:r>
      <w:r>
        <w:rPr>
          <w:rFonts w:hint="eastAsia"/>
        </w:rPr>
        <w:t>量计算经验</w:t>
      </w:r>
      <w:r>
        <w:t>公式</w:t>
      </w:r>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jc w:val="center"/>
        <w:rPr>
          <w:color w:val="FF0000"/>
        </w:rP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431722" cy="526650"/>
                    </a:xfrm>
                    <a:prstGeom prst="rect">
                      <a:avLst/>
                    </a:prstGeom>
                  </pic:spPr>
                </pic:pic>
              </a:graphicData>
            </a:graphic>
          </wp:inline>
        </w:drawing>
      </w:r>
    </w:p>
    <w:p>
      <w:pPr>
        <w:pStyle w:val="3"/>
        <w:ind w:firstLine="420" w:firstLineChars="200"/>
        <w:jc w:val="center"/>
      </w:pPr>
      <w:r>
        <w:rPr>
          <w:lang w:val="en-US"/>
        </w:rPr>
        <w:drawing>
          <wp:inline distT="0" distB="0" distL="0" distR="0">
            <wp:extent cx="3714750" cy="312737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716333" cy="3128900"/>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r>
        <w:rPr>
          <w:rFonts w:hint="eastAsia"/>
        </w:rPr>
        <w:t>单值评价量</w:t>
      </w:r>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55pt;width:17.3pt;" o:ole="t"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55pt;width:12.65pt;" o:ole="t" filled="f" o:preferrelative="t" stroked="f" coordsize="21600,21600">
            <v:path/>
            <v:fill on="f" focussize="0,0"/>
            <v:stroke on="f" joinstyle="miter"/>
            <v:imagedata r:id="rId25" o:title=""/>
            <o:lock v:ext="edit" aspectratio="t"/>
            <w10:wrap type="none"/>
            <w10:anchorlock/>
          </v:shape>
          <o:OLEObject Type="Embed" ProgID="Equation.DSMT4" ShapeID="_x0000_i1028" DrawAspect="Content" ObjectID="_1468075728" r:id="rId24">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2.65pt;width:12.65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rPr>
        <w:t>计权规范化撞击声压级是表征构件撞击声隔声性能的单值评价量，满足不利偏差要求的最小值再减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9"/>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7.3pt;width:17.8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30">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55pt;width:12.6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31">
            <o:LockedField>false</o:LockedField>
          </o:OLEObject>
        </w:object>
      </w:r>
      <w:r>
        <w:rPr>
          <w:rFonts w:hint="eastAsia"/>
          <w:sz w:val="20"/>
        </w:rPr>
        <w:t xml:space="preserve">— </w:t>
      </w:r>
      <w:r>
        <w:rPr>
          <w:rFonts w:hint="eastAsia"/>
          <w:kern w:val="2"/>
          <w:sz w:val="20"/>
          <w:lang w:val="en-US"/>
        </w:rPr>
        <w:t>第i个频带的撞击声压级，精确到0.1dB；</w:t>
      </w:r>
    </w:p>
    <w:p>
      <w:pPr>
        <w:ind w:right="18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r>
        <w:rPr>
          <w:rFonts w:hint="eastAsia"/>
        </w:rPr>
        <w:t>频谱修正量</w:t>
      </w:r>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2"/>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r>
        <w:rPr>
          <w:rFonts w:hint="eastAsia"/>
        </w:rPr>
        <w:t>构件空气声隔声性能</w:t>
      </w:r>
    </w:p>
    <w:p>
      <w:pPr>
        <w:pStyle w:val="4"/>
      </w:pPr>
      <w:r>
        <w:rPr>
          <w:rFonts w:hint="eastAsia"/>
        </w:rPr>
        <w:t>墙板的空气声隔声量</w:t>
      </w:r>
    </w:p>
    <w:p>
      <w:pPr>
        <w:pStyle w:val="5"/>
      </w:pPr>
      <w:r>
        <w:rPr>
          <w:rFonts w:hint="eastAsia"/>
        </w:rPr>
        <w:t>墙板构造做法</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砂加气块（B05级）(ρ=500-550)</w:t>
            </w:r>
          </w:p>
        </w:tc>
        <w:tc>
          <w:tcPr>
            <w:vAlign w:val="center"/>
          </w:tcPr>
          <w:p>
            <w:pPr>
              <w:jc w:val="center"/>
            </w:pPr>
            <w:r>
              <w:t>350</w:t>
            </w:r>
          </w:p>
        </w:tc>
        <w:tc>
          <w:tcPr>
            <w:vAlign w:val="center"/>
          </w:tcPr>
          <w:p>
            <w:pPr>
              <w:jc w:val="center"/>
            </w:pPr>
            <w:r>
              <w:t>525</w:t>
            </w:r>
          </w:p>
        </w:tc>
        <w:tc>
          <w:tcPr>
            <w:vAlign w:val="center"/>
          </w:tcPr>
          <w:p>
            <w:pPr>
              <w:jc w:val="center"/>
            </w:pPr>
            <w:r>
              <w:t>184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C20细石混凝土(ρ=2300)</w:t>
            </w:r>
          </w:p>
        </w:tc>
        <w:tc>
          <w:tcPr>
            <w:vAlign w:val="center"/>
          </w:tcPr>
          <w:p>
            <w:pPr>
              <w:jc w:val="center"/>
            </w:pPr>
            <w:r>
              <w:t>70</w:t>
            </w:r>
          </w:p>
        </w:tc>
        <w:tc>
          <w:tcPr>
            <w:vAlign w:val="center"/>
          </w:tcPr>
          <w:p>
            <w:pPr>
              <w:jc w:val="center"/>
            </w:pPr>
            <w:r>
              <w:t>2300</w:t>
            </w:r>
          </w:p>
        </w:tc>
        <w:tc>
          <w:tcPr>
            <w:vAlign w:val="center"/>
          </w:tcPr>
          <w:p>
            <w:pPr>
              <w:jc w:val="center"/>
            </w:pPr>
            <w:r>
              <w:t>161</w:t>
            </w:r>
          </w:p>
        </w:tc>
        <w:tc>
          <w:tcPr>
            <w:vMerge w:val="restart"/>
            <w:vAlign w:val="center"/>
          </w:tcPr>
          <w:p>
            <w:pPr>
              <w:jc w:val="center"/>
            </w:pPr>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pPr>
              <w:jc w:val="center"/>
            </w:pPr>
            <w:r>
              <w:t>100</w:t>
            </w:r>
          </w:p>
        </w:tc>
        <w:tc>
          <w:tcPr>
            <w:vAlign w:val="center"/>
          </w:tcPr>
          <w:p>
            <w:pPr>
              <w:jc w:val="center"/>
            </w:pPr>
            <w:r>
              <w:t>35</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膨胀珍珠岩(ρ=120)</w:t>
            </w:r>
          </w:p>
        </w:tc>
        <w:tc>
          <w:tcPr>
            <w:vAlign w:val="center"/>
          </w:tcPr>
          <w:p>
            <w:pPr>
              <w:jc w:val="center"/>
            </w:pPr>
            <w:r>
              <w:t>30</w:t>
            </w:r>
          </w:p>
        </w:tc>
        <w:tc>
          <w:tcPr>
            <w:vAlign w:val="center"/>
          </w:tcPr>
          <w:p>
            <w:pPr>
              <w:jc w:val="center"/>
            </w:pPr>
            <w:r>
              <w:t>120</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pPr>
              <w:jc w:val="center"/>
            </w:pPr>
            <w:r>
              <w:t>20</w:t>
            </w:r>
          </w:p>
        </w:tc>
        <w:tc>
          <w:tcPr>
            <w:vAlign w:val="center"/>
          </w:tcPr>
          <w:p>
            <w:pPr>
              <w:jc w:val="center"/>
            </w:pPr>
            <w:r>
              <w:t>35</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28" w:name="围护结构材料清单"/>
      <w:bookmarkEnd w:id="28"/>
    </w:p>
    <w:p>
      <w:pPr>
        <w:pStyle w:val="5"/>
      </w:pPr>
      <w:r>
        <w:rPr>
          <w:rFonts w:hint="eastAsia"/>
        </w:rPr>
        <w:t>墙板空气声隔声性能</w:t>
      </w:r>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 xml:space="preserve"> R</w:t>
      </w:r>
      <w:r>
        <w:rPr>
          <w:lang w:val="en-US"/>
        </w:rPr>
        <w:t>=</w:t>
      </w:r>
      <w:bookmarkStart w:id="29" w:name="公式A1"/>
      <w:r>
        <w:t>23</w:t>
      </w:r>
      <w:bookmarkEnd w:id="29"/>
      <w:r>
        <w:rPr>
          <w:rFonts w:hint="eastAsia"/>
          <w:i/>
          <w:lang w:val="en-US"/>
        </w:rPr>
        <w:t>lg</w:t>
      </w:r>
      <w:r>
        <w:rPr>
          <w:lang w:val="en-US"/>
        </w:rPr>
        <w:t xml:space="preserve"> </w:t>
      </w:r>
      <w:r>
        <w:rPr>
          <w:rFonts w:hint="eastAsia"/>
          <w:lang w:val="en-US"/>
        </w:rPr>
        <w:t>m</w:t>
      </w:r>
      <w:r>
        <w:rPr>
          <w:lang w:val="en-US"/>
        </w:rPr>
        <w:t>+</w:t>
      </w:r>
      <w:bookmarkStart w:id="30" w:name="公式B1"/>
      <w:r>
        <w:t>11</w:t>
      </w:r>
      <w:bookmarkEnd w:id="30"/>
      <w:r>
        <w:rPr>
          <w:rFonts w:hint="eastAsia"/>
          <w:i/>
          <w:lang w:val="en-US"/>
        </w:rPr>
        <w:t>lg</w:t>
      </w:r>
      <w:r>
        <w:rPr>
          <w:i/>
          <w:lang w:val="en-US"/>
        </w:rPr>
        <w:t xml:space="preserve"> </w:t>
      </w:r>
      <w:r>
        <w:rPr>
          <w:rFonts w:hint="eastAsia"/>
          <w:lang w:val="en-US"/>
        </w:rPr>
        <w:t>f</w:t>
      </w:r>
      <w:bookmarkStart w:id="31" w:name="公式C1"/>
      <w:r>
        <w:t>-41</w:t>
      </w:r>
      <w:bookmarkEnd w:id="31"/>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 xml:space="preserve"> R</w:t>
      </w:r>
      <w:r>
        <w:rPr>
          <w:lang w:val="en-US"/>
        </w:rPr>
        <w:t>=</w:t>
      </w:r>
      <w:bookmarkStart w:id="32" w:name="公式A2"/>
      <w:r>
        <w:t>13</w:t>
      </w:r>
      <w:bookmarkEnd w:id="32"/>
      <w:r>
        <w:rPr>
          <w:rFonts w:hint="eastAsia"/>
          <w:i/>
          <w:lang w:val="en-US"/>
        </w:rPr>
        <w:t>lg</w:t>
      </w:r>
      <w:r>
        <w:rPr>
          <w:lang w:val="en-US"/>
        </w:rPr>
        <w:t xml:space="preserve"> </w:t>
      </w:r>
      <w:r>
        <w:rPr>
          <w:rFonts w:hint="eastAsia"/>
          <w:lang w:val="en-US"/>
        </w:rPr>
        <w:t>m</w:t>
      </w:r>
      <w:r>
        <w:rPr>
          <w:lang w:val="en-US"/>
        </w:rPr>
        <w:t>+</w:t>
      </w:r>
      <w:bookmarkStart w:id="33" w:name="公式B2"/>
      <w:r>
        <w:t>11</w:t>
      </w:r>
      <w:bookmarkEnd w:id="33"/>
      <w:r>
        <w:rPr>
          <w:rFonts w:hint="eastAsia"/>
          <w:i/>
          <w:lang w:val="en-US"/>
        </w:rPr>
        <w:t>lg</w:t>
      </w:r>
      <w:r>
        <w:rPr>
          <w:i/>
          <w:lang w:val="en-US"/>
        </w:rPr>
        <w:t xml:space="preserve"> </w:t>
      </w:r>
      <w:r>
        <w:rPr>
          <w:rFonts w:hint="eastAsia"/>
          <w:lang w:val="en-US"/>
        </w:rPr>
        <w:t>f</w:t>
      </w:r>
      <w:bookmarkStart w:id="34" w:name="公式C2"/>
      <w:r>
        <w:t>-18</w:t>
      </w:r>
      <w:bookmarkEnd w:id="34"/>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shd w:val="clear" w:color="auto" w:fill="E6E6E6"/>
            <w:vAlign w:val="center"/>
          </w:tcPr>
          <w:p>
            <w:r>
              <w:t>构造做法</w:t>
            </w:r>
          </w:p>
        </w:tc>
        <w:tc>
          <w:tcPr>
            <w:gridSpan w:val="5"/>
            <w:vAlign w:val="center"/>
          </w:tcPr>
          <w:p>
            <w:r>
              <w:t>水泥砂浆 20mm＋砂加气块（B05级）(ρ=500-550) 350mm＋石灰砂浆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37.3</w:t>
            </w:r>
          </w:p>
        </w:tc>
        <w:tc>
          <w:tcPr>
            <w:vAlign w:val="center"/>
          </w:tcPr>
          <w:p>
            <w:r>
              <w:t>40.6</w:t>
            </w:r>
          </w:p>
        </w:tc>
        <w:tc>
          <w:tcPr>
            <w:vAlign w:val="center"/>
          </w:tcPr>
          <w:p>
            <w:r>
              <w:t>43.9</w:t>
            </w:r>
          </w:p>
        </w:tc>
        <w:tc>
          <w:tcPr>
            <w:vAlign w:val="center"/>
          </w:tcPr>
          <w:p>
            <w:r>
              <w:t>47.2</w:t>
            </w:r>
          </w:p>
        </w:tc>
        <w:tc>
          <w:tcPr>
            <w:vAlign w:val="center"/>
          </w:tcPr>
          <w:p>
            <w:r>
              <w:t>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0.4</w:t>
            </w:r>
          </w:p>
        </w:tc>
        <w:tc>
          <w:tcPr>
            <w:vAlign w:val="center"/>
          </w:tcPr>
          <w:p>
            <w:r>
              <w:t>4.1</w:t>
            </w:r>
          </w:p>
        </w:tc>
        <w:tc>
          <w:tcPr>
            <w:vAlign w:val="center"/>
          </w:tcPr>
          <w:p>
            <w:r>
              <w:t>3.8</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72.1</w:t>
            </w:r>
          </w:p>
        </w:tc>
        <w:tc>
          <w:tcPr>
            <w:vAlign w:val="center"/>
          </w:tcPr>
          <w:p>
            <w:r>
              <w:t>74.4</w:t>
            </w:r>
          </w:p>
        </w:tc>
        <w:tc>
          <w:tcPr>
            <w:vAlign w:val="center"/>
          </w:tcPr>
          <w:p>
            <w:r>
              <w:t>76.5</w:t>
            </w:r>
          </w:p>
        </w:tc>
        <w:tc>
          <w:tcPr>
            <w:vAlign w:val="center"/>
          </w:tcPr>
          <w:p>
            <w:r>
              <w:t>71.3</w:t>
            </w:r>
          </w:p>
        </w:tc>
        <w:tc>
          <w:tcPr>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5" w:name="墙板空气声隔声量"/>
      <w:bookmarkEnd w:id="35"/>
    </w:p>
    <w:p>
      <w:pPr>
        <w:pStyle w:val="3"/>
        <w:rPr>
          <w:lang w:val="en-US"/>
        </w:rPr>
      </w:pPr>
    </w:p>
    <w:p>
      <w:pPr>
        <w:pStyle w:val="4"/>
      </w:pPr>
      <w:r>
        <w:rPr>
          <w:rFonts w:hint="eastAsia"/>
        </w:rPr>
        <w:t>门窗的空气声隔声量</w:t>
      </w:r>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w:t>
            </w:r>
          </w:p>
        </w:tc>
        <w:tc>
          <w:tcPr>
            <w:vAlign w:val="center"/>
          </w:tcPr>
          <w:p>
            <w:r>
              <w:t>构造名称</w:t>
            </w:r>
          </w:p>
        </w:tc>
        <w:tc>
          <w:tcPr>
            <w:gridSpan w:val="5"/>
            <w:vAlign w:val="center"/>
          </w:tcPr>
          <w:p>
            <w:r>
              <w:t>内门,保温门（多功能门）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木门</w:t>
            </w:r>
            <w:r>
              <w:br w:type="textWrapping"/>
            </w:r>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12mm氩气双银Low-E中空玻璃隔热铝合金窗（下限）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5.0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6" w:name="门窗空气声隔声量"/>
      <w:bookmarkEnd w:id="36"/>
    </w:p>
    <w:p>
      <w:pPr>
        <w:pStyle w:val="2"/>
        <w:ind w:left="669" w:hanging="669"/>
      </w:pPr>
      <w:r>
        <w:rPr>
          <w:rFonts w:hint="eastAsia"/>
        </w:rPr>
        <w:t>楼板撞击声隔声性能</w:t>
      </w:r>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普通教室之间楼板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满足平均要求</w:t>
            </w:r>
          </w:p>
        </w:tc>
      </w:tr>
    </w:tbl>
    <w:p>
      <w:pPr>
        <w:rPr>
          <w:lang w:val="en-US"/>
        </w:rPr>
      </w:pPr>
      <w:bookmarkStart w:id="37" w:name="撞击声隔声"/>
      <w:bookmarkEnd w:id="37"/>
    </w:p>
    <w:bookmarkEnd w:id="23"/>
    <w:bookmarkEnd w:id="24"/>
    <w:p>
      <w:pPr>
        <w:pStyle w:val="2"/>
        <w:ind w:left="669" w:hanging="669"/>
        <w:rPr>
          <w:kern w:val="2"/>
        </w:rPr>
      </w:pPr>
      <w:r>
        <w:rPr>
          <w:rFonts w:hint="eastAsia"/>
          <w:kern w:val="2"/>
        </w:rPr>
        <w:t>结论</w:t>
      </w:r>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普通教室间隔墙</w:t>
            </w:r>
          </w:p>
        </w:tc>
        <w:tc>
          <w:tcPr>
            <w:vAlign w:val="center"/>
          </w:tcPr>
          <w:p>
            <w:r>
              <w:rPr>
                <w:b/>
              </w:rPr>
              <w:t>50</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45</w:t>
            </w:r>
          </w:p>
        </w:tc>
        <w:tc>
          <w:tcPr>
            <w:vAlign w:val="center"/>
          </w:tcPr>
          <w:p>
            <w:r>
              <w:t>低限:≥45,高要求:≥50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普通教室间楼板</w:t>
            </w:r>
          </w:p>
        </w:tc>
        <w:tc>
          <w:tcPr>
            <w:vAlign w:val="center"/>
          </w:tcPr>
          <w:p>
            <w:r>
              <w:rPr>
                <w:b/>
              </w:rPr>
              <w:t>66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教学用房的门</w:t>
            </w:r>
          </w:p>
        </w:tc>
        <w:tc>
          <w:tcPr>
            <w:vAlign w:val="center"/>
          </w:tcPr>
          <w:p>
            <w:r>
              <w:rPr>
                <w:b/>
              </w:rPr>
              <w:t>33</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33</w:t>
            </w:r>
          </w:p>
        </w:tc>
        <w:tc>
          <w:tcPr>
            <w:vAlign w:val="center"/>
          </w:tcPr>
          <w:p>
            <w:r>
              <w:t>低限:≥25,高要求:≥30</w:t>
            </w:r>
          </w:p>
        </w:tc>
        <w:tc>
          <w:tcPr>
            <w:vAlign w:val="center"/>
          </w:tcPr>
          <w:p>
            <w:r>
              <w:rPr>
                <w:b/>
              </w:rPr>
              <w:t>满足高要求</w:t>
            </w:r>
          </w:p>
        </w:tc>
      </w:tr>
    </w:tbl>
    <w:p>
      <w:bookmarkStart w:id="38" w:name="构件隔声性能统计"/>
      <w:bookmarkEnd w:id="38"/>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普通教室之间楼板</w:t>
            </w:r>
          </w:p>
        </w:tc>
        <w:tc>
          <w:tcPr>
            <w:vAlign w:val="center"/>
          </w:tcPr>
          <w:p>
            <w:r>
              <w:rPr>
                <w:b/>
              </w:rPr>
              <w:t>69</w:t>
            </w:r>
          </w:p>
        </w:tc>
        <w:tc>
          <w:tcPr>
            <w:vAlign w:val="center"/>
          </w:tcPr>
          <w:p>
            <w:r>
              <w:t>低限:&lt;75,高要求:&lt;65</w:t>
            </w:r>
          </w:p>
        </w:tc>
        <w:tc>
          <w:tcPr>
            <w:vAlign w:val="center"/>
          </w:tcPr>
          <w:p>
            <w:r>
              <w:rPr>
                <w:b/>
              </w:rPr>
              <w:t>满足平均要求</w:t>
            </w:r>
          </w:p>
        </w:tc>
      </w:tr>
    </w:tbl>
    <w:p>
      <w:bookmarkStart w:id="39" w:name="撞击声隔声性能统计"/>
      <w:bookmarkEnd w:id="39"/>
    </w:p>
    <w:p>
      <w:pPr>
        <w:pStyle w:val="3"/>
        <w:rPr>
          <w:rFonts w:ascii="宋体" w:hAnsi="宋体"/>
        </w:rPr>
      </w:pPr>
      <w:r>
        <w:rPr>
          <w:rFonts w:hint="eastAsia" w:ascii="宋体" w:hAnsi="宋体"/>
        </w:rPr>
        <w:t xml:space="preserve">    综上，根据</w:t>
      </w:r>
      <w:bookmarkStart w:id="40" w:name="标准名称2"/>
      <w:r>
        <w:t>河北省《绿色建筑评价标准》DB13(J)/T 8352-2020</w:t>
      </w:r>
      <w:bookmarkEnd w:id="40"/>
      <w:r>
        <w:rPr>
          <w:rFonts w:hint="eastAsia" w:ascii="宋体" w:hAnsi="宋体"/>
        </w:rPr>
        <w:t>、《绿色建筑评</w:t>
      </w:r>
      <w:r>
        <w:t>价标准》GB/T50378-2019和《民用建筑隔声设计规范》GB50118-2010评价要求，可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1" w:name="空气声控制项结论"/>
            <w:r>
              <w:rPr>
                <w:rFonts w:hint="eastAsia"/>
                <w:lang w:val="en-US"/>
              </w:rPr>
              <w:t>满足</w:t>
            </w:r>
            <w:bookmarkEnd w:id="41"/>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bookmarkStart w:id="42" w:name="室内空气声条文内容"/>
            <w:bookmarkEnd w:id="42"/>
            <w:r>
              <w:rPr>
                <w:sz w:val="18"/>
                <w:szCs w:val="18"/>
              </w:rPr>
              <w:t>5.2.7 构件及相邻房间之间的空气声隔声性能达到现行国家标准《民用建筑隔声设计规范》GB 50118 中的低限标准限值和高要求标准限值的平均值，且高于低限标准限值 3dB，得 3 分；达到高要求标准限值，得 5 分；</w:t>
            </w:r>
          </w:p>
        </w:tc>
        <w:tc>
          <w:tcPr>
            <w:tcW w:w="1381" w:type="dxa"/>
            <w:vAlign w:val="center"/>
          </w:tcPr>
          <w:p>
            <w:pPr>
              <w:jc w:val="center"/>
              <w:rPr>
                <w:lang w:val="en-US"/>
              </w:rPr>
            </w:pPr>
            <w:bookmarkStart w:id="43" w:name="空气声评分项结论"/>
            <w:r>
              <w:rPr>
                <w:rFonts w:hint="eastAsia"/>
                <w:lang w:val="en-US"/>
              </w:rPr>
              <w:t>满足低限要求</w:t>
            </w:r>
            <w:bookmarkEnd w:id="43"/>
          </w:p>
        </w:tc>
        <w:tc>
          <w:tcPr>
            <w:tcW w:w="737" w:type="dxa"/>
            <w:vAlign w:val="center"/>
          </w:tcPr>
          <w:p>
            <w:pPr>
              <w:jc w:val="center"/>
              <w:rPr>
                <w:b/>
                <w:bCs/>
                <w:lang w:val="en-US"/>
              </w:rPr>
            </w:pPr>
            <w:bookmarkStart w:id="44" w:name="空气声得分"/>
            <w:r>
              <w:rPr>
                <w:rFonts w:hint="eastAsia"/>
                <w:b/>
                <w:bCs/>
                <w:lang w:val="en-US"/>
              </w:rPr>
              <w:t>0</w:t>
            </w:r>
            <w:bookmarkEnd w:id="44"/>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5" w:name="撞击声控制项结论"/>
            <w:r>
              <w:rPr>
                <w:rFonts w:hint="eastAsia"/>
                <w:lang w:val="en-US"/>
              </w:rPr>
              <w:t>满足</w:t>
            </w:r>
            <w:bookmarkEnd w:id="45"/>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bookmarkStart w:id="46" w:name="室内撞击声条文内容"/>
            <w:bookmarkEnd w:id="46"/>
            <w:r>
              <w:rPr>
                <w:sz w:val="18"/>
                <w:szCs w:val="18"/>
              </w:rPr>
              <w:t>5.2.7 增加楼板厚度或采用浮筑楼板、弹性面层、隔声吊顶、阻尼板等措施加强楼板撞击声隔声性能，楼板的撞击声隔声性达到现行国家标准《民用建筑隔声设计规范》GB 50118 中的低限标准限值和高要求标准限值的平均值，且低于低限标准限值 3dB，得3 分；达到高要求标准限值，得 5 分。</w:t>
            </w:r>
          </w:p>
        </w:tc>
        <w:tc>
          <w:tcPr>
            <w:tcW w:w="1381" w:type="dxa"/>
            <w:vAlign w:val="center"/>
          </w:tcPr>
          <w:p>
            <w:pPr>
              <w:jc w:val="center"/>
              <w:rPr>
                <w:lang w:val="en-US"/>
              </w:rPr>
            </w:pPr>
            <w:bookmarkStart w:id="47" w:name="撞击声评分项结论"/>
            <w:r>
              <w:rPr>
                <w:rFonts w:hint="eastAsia"/>
                <w:lang w:val="en-US"/>
              </w:rPr>
              <w:t>满足平均要求</w:t>
            </w:r>
            <w:bookmarkEnd w:id="47"/>
          </w:p>
        </w:tc>
        <w:tc>
          <w:tcPr>
            <w:tcW w:w="737" w:type="dxa"/>
            <w:vAlign w:val="center"/>
          </w:tcPr>
          <w:p>
            <w:pPr>
              <w:jc w:val="center"/>
              <w:rPr>
                <w:b/>
                <w:bCs/>
                <w:lang w:val="en-US"/>
              </w:rPr>
            </w:pPr>
            <w:bookmarkStart w:id="48" w:name="撞击声得分"/>
            <w:r>
              <w:rPr>
                <w:rFonts w:hint="eastAsia"/>
                <w:b/>
                <w:bCs/>
                <w:lang w:val="en-US"/>
              </w:rPr>
              <w:t>3</w:t>
            </w:r>
            <w:bookmarkEnd w:id="48"/>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docVars>
    <w:docVar w:name="commondata" w:val="eyJoZGlkIjoiMDVlY2MxMGMxZDM5YWVlMGZlZDE0NzdiOTMzZmI1OTkifQ=="/>
  </w:docVars>
  <w:rsids>
    <w:rsidRoot w:val="00217F62"/>
    <w:rsid w:val="001915A3"/>
    <w:rsid w:val="00217F62"/>
    <w:rsid w:val="00A906D8"/>
    <w:rsid w:val="00AB5A74"/>
    <w:rsid w:val="00F071AE"/>
    <w:rsid w:val="46091DDC"/>
    <w:rsid w:val="60627DE5"/>
    <w:rsid w:val="770C00A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oleObject" Target="embeddings/oleObject7.bin"/><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wmf"/><Relationship Id="rId24" Type="http://schemas.openxmlformats.org/officeDocument/2006/relationships/oleObject" Target="embeddings/oleObject4.bin"/><Relationship Id="rId23" Type="http://schemas.openxmlformats.org/officeDocument/2006/relationships/image" Target="media/image15.wmf"/><Relationship Id="rId22" Type="http://schemas.openxmlformats.org/officeDocument/2006/relationships/oleObject" Target="embeddings/oleObject3.bin"/><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E01D8-3330-431C-9EA9-18DCF9EFF5AE}">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Company>ths</Company>
  <Pages>9</Pages>
  <Words>771</Words>
  <Characters>4397</Characters>
  <Lines>36</Lines>
  <Paragraphs>10</Paragraphs>
  <TotalTime>383</TotalTime>
  <ScaleCrop>false</ScaleCrop>
  <LinksUpToDate>false</LinksUpToDate>
  <CharactersWithSpaces>5158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2020-11-09T02:46:00Z</dcterms:created>
  <dc:creator>jinj</dc:creator>
  <cp:lastModifiedBy>admin</cp:lastModifiedBy>
  <cp:lastPrinted>1900-12-31T16:00:00Z</cp:lastPrinted>
  <dcterms:modified xsi:type="dcterms:W3CDTF">2023-12-12T07:09:51Z</dcterms:modified>
  <dc:title>建筑构件隔声设计报告书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494A66031D9C470786F5A30680D85039_12</vt:lpwstr>
  </property>
</Properties>
</file>