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rPr>
          <w:rFonts w:ascii="微软雅黑" w:hAnsi="微软雅黑" w:eastAsia="微软雅黑" w:cs="微软雅黑"/>
        </w:rPr>
      </w:pPr>
      <w:r>
        <w:rPr>
          <w:rFonts w:hint="eastAsia" w:ascii="微软雅黑" w:hAnsi="微软雅黑" w:eastAsia="微软雅黑" w:cs="微软雅黑"/>
          <w:sz w:val="27"/>
          <w:szCs w:val="27"/>
          <w:bdr w:val="none" w:color="auto" w:sz="0" w:space="0"/>
        </w:rPr>
        <w:t> 甘肃省建筑设计研究院有限公司坐落于甘肃省兰州市，是中华人民共和国成立后党和人民政府在甘肃建立的第一家国有建筑设计机构，是国内首批获准对外经营的省属甲级建筑勘察设计单位、商务部认可的“全国四十家援外设计定点企业”、全国建筑设计行业诚信单位、甘肃省省级精神文明先进单位，现为甘肃工程咨询集团股份有限公司旗下子公司。甘肃工程咨询集团股份有限公司是甘肃省上市公司之一，股票简称“甘咨询”、股票代码 000779。</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rPr>
          <w:rFonts w:hint="eastAsia" w:ascii="微软雅黑" w:hAnsi="微软雅黑" w:eastAsia="微软雅黑" w:cs="微软雅黑"/>
        </w:rPr>
      </w:pPr>
      <w:r>
        <w:rPr>
          <w:rFonts w:hint="eastAsia" w:ascii="微软雅黑" w:hAnsi="微软雅黑" w:eastAsia="微软雅黑" w:cs="微软雅黑"/>
          <w:sz w:val="27"/>
          <w:szCs w:val="27"/>
          <w:bdr w:val="none" w:color="auto" w:sz="0" w:space="0"/>
        </w:rPr>
        <w:t> 公司前身是1952年创立的甘肃省建筑设计公司，隶属甘肃省人民政府建筑工程局领导；1954年，甘肃宁夏两省合并后，抽调宁夏部分设计人员来我院工作；1955年，甘肃省与兰州市建筑设计院合并，更名为甘肃省城市建设局城市设计院； 1956年，青岛市建筑设计室撤销，我院从青岛引进人才，技术力量得到再次充实；1960年，与甘肃省勘测大队、甘肃建筑科研所合并，更名为甘肃省建筑勘察规划设计院；1962年，撤销了甘肃省建筑工程管理局，我院被移交甘肃省重工业厅管理，甘肃省煤炭局设计室并入我院；1964年，甘肃省恢复甘肃省建筑工程管理局，我院又改归甘肃省建筑工程管理局领导；1969年，甘肃省建总公司经甘肃省革委会批准，撤销我院，将职工全部下放到甘肃省建总公司所属各施工大队；1973年，恢复建制，将分散的设计力量集中起来，我院与西北给排水设计院合署办公，隶属甘肃省建设总公司管理，名称改为甘肃省建筑勘察设计院；1978年，国家建设部城建总局决定收回原西北给排水设计院的全部人员和财产，我院开始独立设置，由甘肃省建设委员会直接领导；1994年，更名为甘肃省建筑设计研究院，机构级别由县级升格为副地级；2017年，响应国家政企脱钩改制号召，划归甘肃省政府国资委管理，更名为甘肃省建筑设计研究院有限公司；2018年，组建甘肃工程咨询集团有限公司，是该集团建筑板块骨干企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rPr>
          <w:rFonts w:hint="eastAsia" w:ascii="微软雅黑" w:hAnsi="微软雅黑" w:eastAsia="微软雅黑" w:cs="微软雅黑"/>
        </w:rPr>
      </w:pPr>
      <w:r>
        <w:rPr>
          <w:rFonts w:hint="eastAsia" w:ascii="微软雅黑" w:hAnsi="微软雅黑" w:eastAsia="微软雅黑" w:cs="微软雅黑"/>
          <w:sz w:val="27"/>
          <w:szCs w:val="27"/>
          <w:bdr w:val="none" w:color="auto" w:sz="0" w:space="0"/>
        </w:rPr>
        <w:t> 长期以来，公司秉持“求实、创新、包容、合作”的企业精神和“凝聚智源、建筑未来”的企业宗旨，以“创造价值、服务社会”的企业使命和“国内先进、西部一流”的企业愿景为奋斗目标，执着坚韧、踵事增华，无论在建国初期的初创阶段，还是六十年代的困难时期和改革开放的繁荣时期，公司都以“创作精品、追求卓越”为立根之本。在不同历史时期，为甘肃省和西北地区的城市建设付出了艰辛努力，设计了众多具有代表性的城市建筑设计作品，相继完成了兰州华林山人民英雄纪念牌、西北民族学院、甘肃省委党校、兰州大学、甘肃省人民医院、甘肃省政府办公楼、甘肃省委办公楼、605厂、兰州生物制品研究所、兰州七里河体育场、兰州饭店、甘肃省博物馆、甘肃省档案馆、兰州剧院、人民剧院、兰州工人文化宫、兰州宁卧庄宾馆、兰州民航营业楼、兰州科学院、友谊饭店、中国人民解放军第一陆军医院、刘家峡化肥厂、兰州钢厂、两当兵变纪念馆、兰州黄河剧院、舟曲灾后重建、甘肃奥体中心、甘肃会展中心建筑群、金城关文化风情区、麦积山石窟艺术研究所文物保护中心、兰州新区职教园区、甘肃省科技馆、兰州中川机场航站楼等一大批重点项目的设计任务。此外，公司还承担了国家直接下达的很多援外设计任务，多哥人民联盟之家工程、津巴布韦国家体育场、佛得角共和国政府办公大楼、非洲工会统一组织办公楼、几内亚总统府、纳米比亚军事学院等建设项目都倾注了公司设计师的大量心血，工程建成后受到外方的高度赞扬，提升了公司在国内外建筑设计行业知名度，为国家争得了荣誉。</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rPr>
          <w:rFonts w:hint="eastAsia" w:ascii="微软雅黑" w:hAnsi="微软雅黑" w:eastAsia="微软雅黑" w:cs="微软雅黑"/>
        </w:rPr>
      </w:pPr>
      <w:r>
        <w:rPr>
          <w:rFonts w:hint="eastAsia" w:ascii="微软雅黑" w:hAnsi="微软雅黑" w:eastAsia="微软雅黑" w:cs="微软雅黑"/>
          <w:sz w:val="27"/>
          <w:szCs w:val="27"/>
          <w:bdr w:val="none" w:color="auto" w:sz="0" w:space="0"/>
        </w:rPr>
        <w:t>公司设有组成部门9个，综合设计所8个，专业设计所1个，研发中心5个，生产事业部门1个，分院(分公司)5个，市政设计院1个，全资子公司5个。</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rPr>
          <w:rFonts w:hint="eastAsia" w:ascii="微软雅黑" w:hAnsi="微软雅黑" w:eastAsia="微软雅黑" w:cs="微软雅黑"/>
        </w:rPr>
      </w:pPr>
      <w:r>
        <w:rPr>
          <w:rFonts w:hint="eastAsia" w:ascii="微软雅黑" w:hAnsi="微软雅黑" w:eastAsia="微软雅黑" w:cs="微软雅黑"/>
          <w:sz w:val="27"/>
          <w:szCs w:val="27"/>
          <w:bdr w:val="none" w:color="auto" w:sz="0" w:space="0"/>
        </w:rPr>
        <w:t>公司现有职工1199人，拥有国家级建筑设计大师1人，享受国务院政府津贴专家6人，全国百名建筑师1名，中国监理大师1人，甘肃省领军人才7人，甘肃省建筑勘察设计大师2人。教授级高级工程师及高级工程师282人，建筑师及工程师417人；各类注册人员464人次，其中国家一级注册建筑师、结构工程师42人，二级注册建筑师、结构工程师12人，注册公用设备师、注册电气工程师29人，国家注册城市规划师6人，国家注册岩土工程师10人，国家注册造价师26人，国家注册咨询工程师17人，国家注册监理工程师89人，国家一、二级建造师218人。</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rPr>
          <w:rFonts w:hint="eastAsia" w:ascii="微软雅黑" w:hAnsi="微软雅黑" w:eastAsia="微软雅黑" w:cs="微软雅黑"/>
        </w:rPr>
      </w:pPr>
      <w:r>
        <w:rPr>
          <w:rFonts w:hint="eastAsia" w:ascii="微软雅黑" w:hAnsi="微软雅黑" w:eastAsia="微软雅黑" w:cs="微软雅黑"/>
          <w:sz w:val="27"/>
          <w:szCs w:val="27"/>
          <w:bdr w:val="none" w:color="auto" w:sz="0" w:space="0"/>
        </w:rPr>
        <w:t> 公司有228项勘察设计和科研成果获得了国际、国家及部、省级优秀设计、优秀勘察、科技进步、优秀QC小组成果奖。其中获得，国际墨丘利金像奖1项、中国八十年代建筑艺术优秀作品奖、国家银质奖1项、国家优秀设计奖1项、国家科技进步奖1项、全国建筑工程公共建筑装饰和装饰设计奖4项、中国建筑学会建筑创作佳作奖1项、监理的国家优质工程质量鲁班奖5项、詹天佑奖2项、中国市政金杯奖3项、省级优质工程质量奖50多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rPr>
          <w:rFonts w:hint="eastAsia" w:ascii="微软雅黑" w:hAnsi="微软雅黑" w:eastAsia="微软雅黑" w:cs="微软雅黑"/>
        </w:rPr>
      </w:pPr>
      <w:r>
        <w:rPr>
          <w:rFonts w:hint="eastAsia" w:ascii="微软雅黑" w:hAnsi="微软雅黑" w:eastAsia="微软雅黑" w:cs="微软雅黑"/>
          <w:sz w:val="27"/>
          <w:szCs w:val="27"/>
          <w:bdr w:val="none" w:color="auto" w:sz="0" w:space="0"/>
        </w:rPr>
        <w:t> 公司先后被建设部授予“全国人才管理先进单位”“全国企业文化建设先进单位”“十五全国科技进步先进单位”“抗震救灾先进集体”“全国住房和城乡建设系统创建文明行业示范单位”、全国总工会授予我公司“全国五一劳动奖状”等荣誉，被甘肃省科技学技术厅授予“甘肃省技术转移示范机构”“高新技术企业”等荣誉。公司设计的兰州市建研大厦绿色智慧科研综合楼改造工程荣获中国科学研究会绿色建筑评价标识公共建筑绿色改造评价标识“三星”认证，成为甘肃省首个获得绿色建筑设计评价标识“三星”认证的公共建筑绿色改造项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rPr>
          <w:rFonts w:hint="eastAsia" w:ascii="微软雅黑" w:hAnsi="微软雅黑" w:eastAsia="微软雅黑" w:cs="微软雅黑"/>
        </w:rPr>
      </w:pPr>
      <w:r>
        <w:rPr>
          <w:rFonts w:hint="eastAsia" w:ascii="微软雅黑" w:hAnsi="微软雅黑" w:eastAsia="微软雅黑" w:cs="微软雅黑"/>
          <w:sz w:val="27"/>
          <w:szCs w:val="27"/>
          <w:bdr w:val="none" w:color="auto" w:sz="0" w:space="0"/>
        </w:rPr>
        <w:t> 公司坚持“技术创新、管理创新、企业文化创新”，坚持“质量、效益”并重。生产技术装备达到国内先进水平，质量管理体系健全完善。业务范围以甘肃为中心，逐渐向周围发展，目前已辐射新疆、青海、宁夏、山西、河北、湖北等省份。</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rPr>
          <w:rFonts w:hint="eastAsia" w:ascii="微软雅黑" w:hAnsi="微软雅黑" w:eastAsia="微软雅黑" w:cs="微软雅黑"/>
        </w:rPr>
      </w:pPr>
      <w:r>
        <w:rPr>
          <w:rFonts w:hint="eastAsia" w:ascii="微软雅黑" w:hAnsi="微软雅黑" w:eastAsia="微软雅黑" w:cs="微软雅黑"/>
          <w:sz w:val="27"/>
          <w:szCs w:val="27"/>
          <w:bdr w:val="none" w:color="auto" w:sz="0" w:space="0"/>
        </w:rPr>
        <w:t> 今后，公司将高举中国特色社会主义伟大旗帜，以习近平新时代中国特色社会主义思想为指引，全面贯彻党的十九大及历届全会精神，深入贯彻落实全国国有企业党的建设工作会议精神，坚持建立中国特色社会主义现代企业制度为根本任务，加强党的建设，全面深化改革，推进依法治企，以人才为强企之本、创新为兴企之要，坚定不移走复合式发展道路，努力提升品牌价值，积极适应行业变革发展趋势，由“技术”升级向“系统”升级转变，由“行业”思维向“品牌”思维转变，向“百年名企”迈进，使公司高质量发展行稳致远。（数据更新止2021年2月）</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76C93"/>
    <w:multiLevelType w:val="multilevel"/>
    <w:tmpl w:val="59376C93"/>
    <w:lvl w:ilvl="0" w:tentative="0">
      <w:start w:val="0"/>
      <w:numFmt w:val="decimal"/>
      <w:pStyle w:val="2"/>
      <w:lvlText w:val="%1"/>
      <w:lvlJc w:val="left"/>
      <w:pPr>
        <w:tabs>
          <w:tab w:val="left" w:pos="432"/>
        </w:tabs>
        <w:ind w:left="432" w:hanging="432"/>
      </w:pPr>
      <w:rPr>
        <w:rFonts w:hint="eastAsia"/>
        <w:b/>
        <w:i w:val="0"/>
      </w:rPr>
    </w:lvl>
    <w:lvl w:ilvl="1" w:tentative="0">
      <w:start w:val="1"/>
      <w:numFmt w:val="decimal"/>
      <w:pStyle w:val="3"/>
      <w:lvlText w:val="%1.%2"/>
      <w:lvlJc w:val="left"/>
      <w:pPr>
        <w:tabs>
          <w:tab w:val="left" w:pos="576"/>
        </w:tabs>
        <w:ind w:left="680" w:hanging="396"/>
      </w:pPr>
      <w:rPr>
        <w:rFonts w:hint="eastAsia"/>
        <w:b/>
        <w:i w:val="0"/>
        <w:sz w:val="32"/>
        <w:szCs w:val="32"/>
      </w:rPr>
    </w:lvl>
    <w:lvl w:ilvl="2" w:tentative="0">
      <w:start w:val="1"/>
      <w:numFmt w:val="decimal"/>
      <w:pStyle w:val="4"/>
      <w:lvlText w:val="%1.%2.%3"/>
      <w:lvlJc w:val="left"/>
      <w:pPr>
        <w:tabs>
          <w:tab w:val="left" w:pos="900"/>
        </w:tabs>
        <w:ind w:left="900" w:hanging="720"/>
      </w:pPr>
      <w:rPr>
        <w:rFonts w:hint="default" w:ascii="Times New Roman" w:hAnsi="Times New Roman" w:cs="Times New Roman"/>
        <w:b/>
        <w:i w:val="0"/>
        <w:color w:val="auto"/>
        <w:sz w:val="24"/>
        <w:szCs w:val="24"/>
      </w:rPr>
    </w:lvl>
    <w:lvl w:ilvl="3" w:tentative="0">
      <w:start w:val="1"/>
      <w:numFmt w:val="decimal"/>
      <w:pStyle w:val="5"/>
      <w:lvlText w:val="%1.%2.%3.%4"/>
      <w:lvlJc w:val="left"/>
      <w:pPr>
        <w:tabs>
          <w:tab w:val="left" w:pos="864"/>
        </w:tabs>
        <w:ind w:left="864" w:hanging="864"/>
      </w:pPr>
      <w:rPr>
        <w:rFonts w:hint="default" w:ascii="Times New Roman" w:hAnsi="Times New Roman" w:cs="Times New Roman"/>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F5"/>
    <w:rsid w:val="00132809"/>
    <w:rsid w:val="00316D68"/>
    <w:rsid w:val="00806FF5"/>
    <w:rsid w:val="00A6447A"/>
    <w:rsid w:val="5FD53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numPr>
        <w:ilvl w:val="1"/>
        <w:numId w:val="1"/>
      </w:numPr>
      <w:spacing w:before="120" w:after="120"/>
      <w:ind w:left="510" w:hanging="397"/>
      <w:outlineLvl w:val="1"/>
    </w:pPr>
    <w:rPr>
      <w:rFonts w:eastAsiaTheme="majorEastAsia"/>
      <w:b/>
      <w:bCs/>
      <w:sz w:val="32"/>
      <w:szCs w:val="32"/>
    </w:rPr>
  </w:style>
  <w:style w:type="paragraph" w:styleId="4">
    <w:name w:val="heading 3"/>
    <w:basedOn w:val="1"/>
    <w:next w:val="1"/>
    <w:link w:val="16"/>
    <w:qFormat/>
    <w:uiPriority w:val="0"/>
    <w:pPr>
      <w:keepNext/>
      <w:keepLines/>
      <w:numPr>
        <w:ilvl w:val="2"/>
        <w:numId w:val="1"/>
      </w:numPr>
      <w:spacing w:before="120" w:after="120"/>
      <w:outlineLvl w:val="2"/>
    </w:pPr>
    <w:rPr>
      <w:b/>
      <w:bCs/>
      <w:sz w:val="24"/>
      <w:szCs w:val="32"/>
    </w:rPr>
  </w:style>
  <w:style w:type="paragraph" w:styleId="5">
    <w:name w:val="heading 4"/>
    <w:basedOn w:val="1"/>
    <w:next w:val="1"/>
    <w:link w:val="17"/>
    <w:qFormat/>
    <w:uiPriority w:val="0"/>
    <w:pPr>
      <w:keepNext/>
      <w:keepLines/>
      <w:numPr>
        <w:ilvl w:val="3"/>
        <w:numId w:val="1"/>
      </w:numPr>
      <w:spacing w:before="120" w:after="120"/>
      <w:outlineLvl w:val="3"/>
    </w:pPr>
    <w:rPr>
      <w:rFonts w:ascii="Arial" w:hAnsi="Arial" w:eastAsiaTheme="majorEastAsia"/>
      <w:b/>
      <w:bCs/>
      <w:szCs w:val="28"/>
    </w:rPr>
  </w:style>
  <w:style w:type="paragraph" w:styleId="6">
    <w:name w:val="heading 5"/>
    <w:basedOn w:val="1"/>
    <w:next w:val="1"/>
    <w:link w:val="1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2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2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2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1">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14">
    <w:name w:val="标题 1 Char"/>
    <w:basedOn w:val="13"/>
    <w:link w:val="2"/>
    <w:uiPriority w:val="0"/>
    <w:rPr>
      <w:rFonts w:ascii="Times New Roman" w:hAnsi="Times New Roman" w:eastAsia="宋体" w:cs="Times New Roman"/>
      <w:b/>
      <w:bCs/>
      <w:kern w:val="44"/>
      <w:sz w:val="44"/>
      <w:szCs w:val="44"/>
    </w:rPr>
  </w:style>
  <w:style w:type="character" w:customStyle="1" w:styleId="15">
    <w:name w:val="标题 2 Char"/>
    <w:basedOn w:val="13"/>
    <w:link w:val="3"/>
    <w:uiPriority w:val="0"/>
    <w:rPr>
      <w:rFonts w:ascii="Times New Roman" w:hAnsi="Times New Roman" w:cs="Times New Roman" w:eastAsiaTheme="majorEastAsia"/>
      <w:b/>
      <w:bCs/>
      <w:sz w:val="32"/>
      <w:szCs w:val="32"/>
    </w:rPr>
  </w:style>
  <w:style w:type="character" w:customStyle="1" w:styleId="16">
    <w:name w:val="标题 3 Char"/>
    <w:basedOn w:val="13"/>
    <w:link w:val="4"/>
    <w:uiPriority w:val="0"/>
    <w:rPr>
      <w:rFonts w:ascii="Times New Roman" w:hAnsi="Times New Roman" w:eastAsia="宋体" w:cs="Times New Roman"/>
      <w:b/>
      <w:bCs/>
      <w:sz w:val="24"/>
      <w:szCs w:val="32"/>
    </w:rPr>
  </w:style>
  <w:style w:type="character" w:customStyle="1" w:styleId="17">
    <w:name w:val="标题 4 Char"/>
    <w:basedOn w:val="13"/>
    <w:link w:val="5"/>
    <w:uiPriority w:val="0"/>
    <w:rPr>
      <w:rFonts w:ascii="Arial" w:hAnsi="Arial" w:cs="Times New Roman" w:eastAsiaTheme="majorEastAsia"/>
      <w:b/>
      <w:bCs/>
      <w:szCs w:val="28"/>
    </w:rPr>
  </w:style>
  <w:style w:type="character" w:customStyle="1" w:styleId="18">
    <w:name w:val="标题 5 Char"/>
    <w:basedOn w:val="13"/>
    <w:link w:val="6"/>
    <w:uiPriority w:val="0"/>
    <w:rPr>
      <w:rFonts w:ascii="Times New Roman" w:hAnsi="Times New Roman" w:eastAsia="宋体" w:cs="Times New Roman"/>
      <w:b/>
      <w:bCs/>
      <w:sz w:val="28"/>
      <w:szCs w:val="28"/>
    </w:rPr>
  </w:style>
  <w:style w:type="character" w:customStyle="1" w:styleId="19">
    <w:name w:val="标题 6 Char"/>
    <w:basedOn w:val="13"/>
    <w:link w:val="7"/>
    <w:uiPriority w:val="0"/>
    <w:rPr>
      <w:rFonts w:ascii="Arial" w:hAnsi="Arial" w:eastAsia="黑体" w:cs="Times New Roman"/>
      <w:b/>
      <w:bCs/>
      <w:sz w:val="24"/>
      <w:szCs w:val="24"/>
    </w:rPr>
  </w:style>
  <w:style w:type="character" w:customStyle="1" w:styleId="20">
    <w:name w:val="标题 7 Char"/>
    <w:basedOn w:val="13"/>
    <w:link w:val="8"/>
    <w:uiPriority w:val="0"/>
    <w:rPr>
      <w:rFonts w:ascii="Times New Roman" w:hAnsi="Times New Roman" w:eastAsia="宋体" w:cs="Times New Roman"/>
      <w:b/>
      <w:bCs/>
      <w:sz w:val="24"/>
      <w:szCs w:val="24"/>
    </w:rPr>
  </w:style>
  <w:style w:type="character" w:customStyle="1" w:styleId="21">
    <w:name w:val="标题 8 Char"/>
    <w:basedOn w:val="13"/>
    <w:link w:val="9"/>
    <w:uiPriority w:val="0"/>
    <w:rPr>
      <w:rFonts w:ascii="Arial" w:hAnsi="Arial" w:eastAsia="黑体" w:cs="Times New Roman"/>
      <w:sz w:val="24"/>
      <w:szCs w:val="24"/>
    </w:rPr>
  </w:style>
  <w:style w:type="character" w:customStyle="1" w:styleId="22">
    <w:name w:val="标题 9 Char"/>
    <w:basedOn w:val="13"/>
    <w:link w:val="10"/>
    <w:uiPriority w:val="0"/>
    <w:rPr>
      <w:rFonts w:ascii="Arial" w:hAnsi="Arial" w:eastAsia="黑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337</Words>
  <Characters>1925</Characters>
  <Lines>16</Lines>
  <Paragraphs>4</Paragraphs>
  <TotalTime>1</TotalTime>
  <ScaleCrop>false</ScaleCrop>
  <LinksUpToDate>false</LinksUpToDate>
  <CharactersWithSpaces>2258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2018-05-22T01:56:00Z</dcterms:created>
  <dc:creator>王冷非</dc:creator>
  <cp:lastModifiedBy>艳儿</cp:lastModifiedBy>
  <dcterms:modified xsi:type="dcterms:W3CDTF">2021-07-16T08:35:09Z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AA2DCD3340084E358B553AC1622A3444</vt:lpwstr>
  </property>
</Properties>
</file>