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人车分流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保证中轴线慢行系统连续性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慢行系统是为解决慢行出行的市政基础设施，根据功能定位的不同，通常分为自行车专用道、城市绿道、景观人行桥以及二层连廊和风雨连廊等。目前中轴线与映日路、赏月路交叉口现状仍是通过地面人行横道过街，中轴线慢行流线被南北向道路断开，慢行流线需要平面穿越车行道过街，并没有真正意义上实施人车分流，存在一定交通隐患，严重影响中轴线的慢行安全与连续性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梅溪湖“超级中轴”东起城市岛，西至中央公园，长约3.3公里，将成为梅溪湖片区公共属性最强、最具标志性的区域，地上高楼林立、路网发达，地下拥有多条地铁、城际铁路交会。根据规划，超级中轴通过形成一条人车分流的连续慢行廊道，串联沿线重要功能节点、地块，兼顾景观和休闲功能，打造城市立体复合公共空间示范区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超级中轴是贯穿梅溪湖国际新城重要景观带，也是重要的慢行廊道。”湘江集团梅溪湖公司相关负责人介绍，目前中轴线东段（梅溪湖路-环湖路）采用人行天桥跨越相交道路，东起城市岛人行景观桥，往西分别跨越环湖路、五洲路和梅溪湖路，承担人行慢行连廊系统功能。而中轴线西段一期（金桂路-三环线）采用地下通道及人行天桥，保证中轴线慢行系统的连续性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上述负责人介绍，中轴线（三环线-龙王港）慢行系统的开工建设，是完善超级中轴慢行廊道的重要节点，建成后可进一步完善的片区快行、慢行路网体系，拓展城市发展空间，改善片区的交通条件和宜居环境，全力推动片区经济发展提速升级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完善配套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高效连接周边建筑及地铁公交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记者了解到，目前中轴线（三环线-龙王港）慢行系统已有中轴线二层连廊节点、赏月路节点和梧桐路节点三处开工建设，均为钢箱梁桥。其中中轴线二层连廊位于中轴线与映日路相交处，桥梁总长432.9米，最大单跨为19米；赏月路节点位于中轴线与赏月路相交处，桥梁总长287.2米，最大单跨23米；梧桐路节点位于中轴线南侧，梧桐路与映日路相交处，桥梁总长280.4米，最大单跨50米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湘江集团梅溪湖公司相关负责人介绍，项目不仅是片区慢行系统与景观的重要组成部分，也是片区规划市政公用配套设施的重要部分。根据片区规划，三个节点周边用地主要为居住用地、商业用地、教育用地以及绿地等，还有地铁、公交等公共交通对外衔接，项目所在片区慢行交通出行压力较大，随着地块开发程度的加大，现状市政公用配套设施将无法满足日常运行需求。“项目建成后，可以为区域提供更完善的公用配套设施，提升城市品位，美化自然环境。”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此外，项目的实施还可将周边慢行系统重塑，结合片区远期交通规划，可高效连接周边主要建筑，便捷地连接各交通集散点，实现与地铁、公交等公共交通的连接，构建安全、便捷和舒适的慢行系统，方便周边居民出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kMThkNzM0ODFhNDk2ZDFmMzlhY2FjZTYzMzRhYTgifQ=="/>
  </w:docVars>
  <w:rsids>
    <w:rsidRoot w:val="00000000"/>
    <w:rsid w:val="0D2857D5"/>
    <w:rsid w:val="13565C0D"/>
    <w:rsid w:val="15651117"/>
    <w:rsid w:val="28375860"/>
    <w:rsid w:val="399B3EEE"/>
    <w:rsid w:val="482F088B"/>
    <w:rsid w:val="593F053C"/>
    <w:rsid w:val="5E5A35FF"/>
    <w:rsid w:val="613E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autoRedefine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2024-02-24T06:36:00Z</dcterms:created>
  <dc:creator>16411</dc:creator>
  <cp:lastModifiedBy>周飞宇</cp:lastModifiedBy>
  <dcterms:modified xsi:type="dcterms:W3CDTF">2024-02-24T07:28:46Z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2AD866873C254FE1A6CB9F1728DE2C90_12</vt:lpwstr>
  </property>
</Properties>
</file>