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风荷载：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本工程为高度小于 60 米的多层结构，承载力计算时基本风压取 0.75kN/m2（50 年一遇），地面粗糙度类别为 C 类。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地震作用：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本工程位于抗震设防烈度七度区，设计基本地震加速度为 0.10g，设计地震分组为第一组,设计特征周期为 0.35s，水平地震影响系数最大值为 0.50(罕遇地震 0.72)。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设计参数：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本工程建筑结构的安全等级：二级；设计使用年限：50 年；抗震设防类别：乙类；场地类别：Ⅱ类；建筑耐火等级为一级。</w:t>
      </w:r>
    </w:p>
    <w:p>
      <w:pPr>
        <w:keepNext w:val="0"/>
        <w:keepLines w:val="0"/>
        <w:widowControl/>
        <w:suppressLineNumbers w:val="0"/>
        <w:ind w:firstLine="442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地基基础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(1) 1.根据地质勘探报告,本工程采用独立基础+防水板及旋挖桩基础形式, 局部坑底标高变化较大处酌情采用人工挖孔桩、人工挖孔墩基础进行补充。独立基础持力层为中、微风化混合花岗岩；旋挖桩持力层为中风化，入岩 0.5m。旋挖桩径取 1m 及 1.2m，人工挖孔桩、人工挖孔墩直径取 1.2m。本工程四层地下室，采用了抗拔锚杆进行抗浮.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（2）场地土类别为Ⅱ类，勘察期间测得其水位埋深标高介于 48.46~63.40，场地内地下水水质对砼结构不具腐蚀性，对钢筋砼结构中的钢筋不具腐蚀性，但对钢结构具弱腐蚀性。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（3）高层主楼与裙房之间不设沉降缝。不同基础所产生的沉降差，由沉降后浇带相互调剂。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(4) 本工程地基基础设计等级为甲级，建筑桩基设计等级为甲级。 </w:t>
      </w:r>
    </w:p>
    <w:p>
      <w:pPr>
        <w:keepNext w:val="0"/>
        <w:keepLines w:val="0"/>
        <w:widowControl/>
        <w:suppressLineNumbers w:val="0"/>
        <w:ind w:firstLine="44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抗震缝、后浇带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地上部分结合建筑平面，利用抗震缝将一栋五层裙房分为三个独立的结构单元。 </w:t>
      </w:r>
    </w:p>
    <w:p>
      <w:pPr>
        <w:keepNext w:val="0"/>
        <w:keepLines w:val="0"/>
        <w:widowControl/>
        <w:suppressLineNumbers w:val="0"/>
        <w:ind w:firstLine="442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结构体系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结构平面布置不规则，通过加大周边梁的截面、在周边增加剪力墙，加大薄弱处的楼板配筋等构造措施加强。房屋的顶层屋面板均予以加强。通过以上措施提高结构的抗震能力。 </w:t>
      </w:r>
    </w:p>
    <w:p>
      <w:pPr>
        <w:keepNext w:val="0"/>
        <w:keepLines w:val="0"/>
        <w:widowControl/>
        <w:suppressLineNumbers w:val="0"/>
        <w:ind w:firstLine="44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楼盖体系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楼盖采用现浇钢筋混凝土主次梁楼盖体系。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本工程使用盈建科建筑结构计算模块——YJK-A[1.9.3]进行结构整体计算分析。地震作用和风荷载按两个主轴方向作用，结构转换层按规范要求指定为薄弱层，其对应于地震作用标准值的地震剪力乘以 1.15 的增大系数。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计算主要结果 </w:t>
      </w:r>
    </w:p>
    <w:p>
      <w:pPr>
        <w:spacing w:before="182" w:line="220" w:lineRule="auto"/>
        <w:ind w:left="211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2"/>
          <w:sz w:val="22"/>
          <w:szCs w:val="22"/>
        </w:rPr>
        <w:t>（1）结构自振周期（列前六个振型）</w:t>
      </w:r>
    </w:p>
    <w:p>
      <w:pPr>
        <w:spacing w:line="68" w:lineRule="exact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5"/>
        <w:tblW w:w="8458" w:type="dxa"/>
        <w:tblInd w:w="8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693"/>
        <w:gridCol w:w="1064"/>
        <w:gridCol w:w="2759"/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19" w:line="220" w:lineRule="auto"/>
              <w:ind w:left="2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振型号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19" w:line="220" w:lineRule="auto"/>
              <w:ind w:left="25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周期</w:t>
            </w:r>
            <w:r>
              <w:rPr>
                <w:rFonts w:hint="eastAsia" w:ascii="宋体" w:hAnsi="宋体" w:eastAsia="宋体" w:cs="宋体"/>
                <w:spacing w:val="78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（s）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18" w:line="219" w:lineRule="auto"/>
              <w:ind w:left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转角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8" w:line="220" w:lineRule="auto"/>
              <w:ind w:left="48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平动系数（X+Y）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18" w:line="220" w:lineRule="auto"/>
              <w:ind w:left="5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扭转系数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2" w:line="184" w:lineRule="auto"/>
              <w:ind w:left="5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2" w:line="184" w:lineRule="auto"/>
              <w:ind w:left="5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1.6294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3" w:line="183" w:lineRule="auto"/>
              <w:ind w:left="24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28.58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5" w:line="222" w:lineRule="auto"/>
              <w:ind w:left="3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0.84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( 0.63+0.21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2" w:line="184" w:lineRule="auto"/>
              <w:ind w:left="66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5" w:line="183" w:lineRule="auto"/>
              <w:ind w:left="51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3" w:line="184" w:lineRule="auto"/>
              <w:ind w:left="5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1.4613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3" w:line="184" w:lineRule="auto"/>
              <w:ind w:left="19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118.11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7" w:line="222" w:lineRule="auto"/>
              <w:ind w:left="32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1.00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0.22+0.78 )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5" w:line="183" w:lineRule="auto"/>
              <w:ind w:left="66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4" w:line="183" w:lineRule="auto"/>
              <w:ind w:left="52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3" w:line="184" w:lineRule="auto"/>
              <w:ind w:left="5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1.2125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4" w:line="183" w:lineRule="auto"/>
              <w:ind w:left="24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22.30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7" w:line="222" w:lineRule="auto"/>
              <w:ind w:left="3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0.70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( 0.56+0.14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4" w:line="183" w:lineRule="auto"/>
              <w:ind w:left="72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5" w:line="183" w:lineRule="auto"/>
              <w:ind w:left="5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4" w:line="184" w:lineRule="auto"/>
              <w:ind w:left="4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0.8716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4" w:line="184" w:lineRule="auto"/>
              <w:ind w:left="2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84.71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7" w:line="222" w:lineRule="auto"/>
              <w:ind w:left="3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0.82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( 0.06+0.76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4" w:line="184" w:lineRule="auto"/>
              <w:ind w:left="66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8" w:line="182" w:lineRule="auto"/>
              <w:ind w:left="521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7" w:line="183" w:lineRule="auto"/>
              <w:ind w:left="494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0.8097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5" w:line="184" w:lineRule="auto"/>
              <w:ind w:left="24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87.61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9" w:line="222" w:lineRule="auto"/>
              <w:ind w:left="31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0.77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( 0.63+0.14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7" w:line="183" w:lineRule="auto"/>
              <w:ind w:left="669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6" w:line="183" w:lineRule="auto"/>
              <w:ind w:left="518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5" w:line="184" w:lineRule="auto"/>
              <w:ind w:left="494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0.7821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6" w:line="183" w:lineRule="auto"/>
              <w:ind w:left="245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77.44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9" w:line="222" w:lineRule="auto"/>
              <w:ind w:left="31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0.84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( 0.56+0.28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5" w:line="184" w:lineRule="auto"/>
              <w:ind w:left="669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0.16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结构扭转为主的第一自振周期 Tt(1.2125)与平动为主的第一自振周期 T1(1.6294)之比为0.74.</w:t>
      </w:r>
    </w:p>
    <w:p>
      <w:pPr>
        <w:keepNext w:val="0"/>
        <w:keepLines w:val="0"/>
        <w:widowControl/>
        <w:suppressLineNumbers w:val="0"/>
        <w:ind w:firstLine="210" w:firstLineChars="10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5"/>
          <w:sz w:val="22"/>
          <w:szCs w:val="22"/>
        </w:rPr>
        <w:t>（2）位移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2"/>
          <w:sz w:val="22"/>
          <w:szCs w:val="22"/>
        </w:rPr>
        <w:t>R1—最大位移/层平均位移（各层之最大值）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R2—最大层间位移/平均层间位移（各层之最大值）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position w:val="17"/>
          <w:sz w:val="22"/>
          <w:szCs w:val="22"/>
        </w:rPr>
        <w:t>Max—D/h—最大层间位移角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9"/>
          <w:sz w:val="22"/>
          <w:szCs w:val="22"/>
        </w:rPr>
        <w:t>地震作用下：</w:t>
      </w:r>
    </w:p>
    <w:p>
      <w:pPr>
        <w:spacing w:line="67" w:lineRule="exact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5"/>
        <w:tblW w:w="8098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2"/>
        <w:gridCol w:w="2438"/>
        <w:gridCol w:w="2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952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color="000000" w:sz="12" w:space="0"/>
            </w:tcBorders>
            <w:vAlign w:val="top"/>
          </w:tcPr>
          <w:p>
            <w:pPr>
              <w:pStyle w:val="4"/>
              <w:spacing w:before="114" w:line="241" w:lineRule="auto"/>
              <w:ind w:left="51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x</w:t>
            </w:r>
          </w:p>
        </w:tc>
        <w:tc>
          <w:tcPr>
            <w:tcW w:w="2708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210" w:line="179" w:lineRule="exact"/>
              <w:ind w:left="57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position w:val="1"/>
                <w:sz w:val="22"/>
                <w:szCs w:val="22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952" w:type="dxa"/>
            <w:tcBorders>
              <w:left w:val="single" w:color="000000" w:sz="12" w:space="0"/>
            </w:tcBorders>
            <w:vAlign w:val="top"/>
          </w:tcPr>
          <w:p>
            <w:pPr>
              <w:pStyle w:val="4"/>
              <w:spacing w:before="154" w:line="184" w:lineRule="auto"/>
              <w:ind w:left="5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R1</w:t>
            </w:r>
          </w:p>
        </w:tc>
        <w:tc>
          <w:tcPr>
            <w:tcW w:w="2438" w:type="dxa"/>
            <w:vAlign w:val="top"/>
          </w:tcPr>
          <w:p>
            <w:pPr>
              <w:pStyle w:val="4"/>
              <w:spacing w:before="154" w:line="184" w:lineRule="auto"/>
              <w:ind w:left="35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1.15</w:t>
            </w:r>
          </w:p>
        </w:tc>
        <w:tc>
          <w:tcPr>
            <w:tcW w:w="2708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54" w:line="184" w:lineRule="auto"/>
              <w:ind w:left="41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2" w:type="dxa"/>
            <w:tcBorders>
              <w:left w:val="single" w:color="000000" w:sz="12" w:space="0"/>
            </w:tcBorders>
            <w:vAlign w:val="top"/>
          </w:tcPr>
          <w:p>
            <w:pPr>
              <w:pStyle w:val="4"/>
              <w:spacing w:before="159" w:line="183" w:lineRule="auto"/>
              <w:ind w:left="5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R2</w:t>
            </w:r>
          </w:p>
        </w:tc>
        <w:tc>
          <w:tcPr>
            <w:tcW w:w="2438" w:type="dxa"/>
            <w:vAlign w:val="top"/>
          </w:tcPr>
          <w:p>
            <w:pPr>
              <w:pStyle w:val="4"/>
              <w:spacing w:before="157" w:line="184" w:lineRule="auto"/>
              <w:ind w:left="35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1.32</w:t>
            </w:r>
          </w:p>
        </w:tc>
        <w:tc>
          <w:tcPr>
            <w:tcW w:w="2708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57" w:line="184" w:lineRule="auto"/>
              <w:ind w:left="41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>
            <w:pPr>
              <w:pStyle w:val="4"/>
              <w:spacing w:before="220" w:line="396" w:lineRule="auto"/>
              <w:ind w:left="145" w:right="107" w:firstLine="48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Max—D/h ( 所在层号)</w:t>
            </w:r>
          </w:p>
        </w:tc>
        <w:tc>
          <w:tcPr>
            <w:tcW w:w="2438" w:type="dxa"/>
            <w:tcBorders>
              <w:bottom w:val="single" w:color="000000" w:sz="12" w:space="0"/>
            </w:tcBorders>
            <w:vAlign w:val="top"/>
          </w:tcPr>
          <w:p>
            <w:pPr>
              <w:pStyle w:val="4"/>
              <w:spacing w:before="220" w:line="396" w:lineRule="auto"/>
              <w:ind w:left="145" w:right="107" w:firstLine="48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1/665(2)</w:t>
            </w:r>
          </w:p>
        </w:tc>
        <w:tc>
          <w:tcPr>
            <w:tcW w:w="2708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220" w:line="396" w:lineRule="auto"/>
              <w:ind w:left="145" w:right="107" w:firstLine="48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1/718(2)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spacing w:before="79" w:line="22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9"/>
          <w:sz w:val="22"/>
          <w:szCs w:val="22"/>
        </w:rPr>
        <w:t>风荷载作用下：</w:t>
      </w:r>
    </w:p>
    <w:tbl>
      <w:tblPr>
        <w:tblStyle w:val="5"/>
        <w:tblpPr w:leftFromText="180" w:rightFromText="180" w:vertAnchor="text" w:horzAnchor="page" w:tblpX="1333" w:tblpY="175"/>
        <w:tblOverlap w:val="never"/>
        <w:tblW w:w="85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176"/>
        <w:gridCol w:w="3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12" w:type="dxa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76" w:type="dxa"/>
            <w:vAlign w:val="top"/>
          </w:tcPr>
          <w:p>
            <w:pPr>
              <w:pStyle w:val="4"/>
              <w:spacing w:before="208" w:line="241" w:lineRule="auto"/>
              <w:ind w:left="15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x</w:t>
            </w:r>
          </w:p>
        </w:tc>
        <w:tc>
          <w:tcPr>
            <w:tcW w:w="3034" w:type="dxa"/>
            <w:vAlign w:val="top"/>
          </w:tcPr>
          <w:p>
            <w:pPr>
              <w:pStyle w:val="4"/>
              <w:spacing w:before="303" w:line="180" w:lineRule="exact"/>
              <w:ind w:left="145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position w:val="1"/>
                <w:sz w:val="22"/>
                <w:szCs w:val="22"/>
              </w:rPr>
              <w:t>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12" w:type="dxa"/>
            <w:vAlign w:val="top"/>
          </w:tcPr>
          <w:p>
            <w:pPr>
              <w:pStyle w:val="4"/>
              <w:spacing w:before="147" w:line="184" w:lineRule="auto"/>
              <w:ind w:left="102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R1</w:t>
            </w:r>
          </w:p>
        </w:tc>
        <w:tc>
          <w:tcPr>
            <w:tcW w:w="3176" w:type="dxa"/>
            <w:vAlign w:val="top"/>
          </w:tcPr>
          <w:p>
            <w:pPr>
              <w:pStyle w:val="4"/>
              <w:spacing w:before="147" w:line="184" w:lineRule="auto"/>
              <w:ind w:left="13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1.18</w:t>
            </w:r>
          </w:p>
        </w:tc>
        <w:tc>
          <w:tcPr>
            <w:tcW w:w="3034" w:type="dxa"/>
            <w:vAlign w:val="top"/>
          </w:tcPr>
          <w:p>
            <w:pPr>
              <w:pStyle w:val="4"/>
              <w:spacing w:before="147" w:line="184" w:lineRule="auto"/>
              <w:ind w:left="12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2" w:type="dxa"/>
            <w:vAlign w:val="top"/>
          </w:tcPr>
          <w:p>
            <w:pPr>
              <w:pStyle w:val="4"/>
              <w:spacing w:before="158" w:line="183" w:lineRule="auto"/>
              <w:ind w:left="102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R2</w:t>
            </w:r>
          </w:p>
        </w:tc>
        <w:tc>
          <w:tcPr>
            <w:tcW w:w="3176" w:type="dxa"/>
            <w:vAlign w:val="top"/>
          </w:tcPr>
          <w:p>
            <w:pPr>
              <w:pStyle w:val="4"/>
              <w:spacing w:before="157" w:line="184" w:lineRule="auto"/>
              <w:ind w:left="13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1.21</w:t>
            </w:r>
          </w:p>
        </w:tc>
        <w:tc>
          <w:tcPr>
            <w:tcW w:w="3034" w:type="dxa"/>
            <w:vAlign w:val="top"/>
          </w:tcPr>
          <w:p>
            <w:pPr>
              <w:pStyle w:val="4"/>
              <w:spacing w:before="157" w:line="184" w:lineRule="auto"/>
              <w:ind w:left="12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2" w:type="dxa"/>
            <w:vAlign w:val="top"/>
          </w:tcPr>
          <w:p>
            <w:pPr>
              <w:pStyle w:val="4"/>
              <w:spacing w:before="207" w:line="561" w:lineRule="exact"/>
              <w:ind w:left="6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position w:val="24"/>
                <w:sz w:val="22"/>
                <w:szCs w:val="22"/>
              </w:rPr>
              <w:t>Max—D/h</w:t>
            </w:r>
          </w:p>
          <w:p>
            <w:pPr>
              <w:pStyle w:val="4"/>
              <w:spacing w:line="219" w:lineRule="auto"/>
              <w:ind w:left="589" w:left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(所在层号)</w:t>
            </w:r>
          </w:p>
        </w:tc>
        <w:tc>
          <w:tcPr>
            <w:tcW w:w="3176" w:type="dxa"/>
            <w:vAlign w:val="top"/>
          </w:tcPr>
          <w:p>
            <w:pPr>
              <w:pStyle w:val="4"/>
              <w:spacing w:before="114" w:line="222" w:lineRule="auto"/>
              <w:ind w:left="1059" w:left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1/1494(5)</w:t>
            </w:r>
          </w:p>
        </w:tc>
        <w:tc>
          <w:tcPr>
            <w:tcW w:w="3034" w:type="dxa"/>
            <w:vAlign w:val="top"/>
          </w:tcPr>
          <w:p>
            <w:pPr>
              <w:pStyle w:val="4"/>
              <w:spacing w:before="114" w:line="222" w:lineRule="auto"/>
              <w:ind w:left="991" w:left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1/1680(5)</w:t>
            </w:r>
          </w:p>
        </w:tc>
      </w:tr>
    </w:tbl>
    <w:p>
      <w:pPr>
        <w:spacing w:before="171" w:line="226" w:lineRule="auto"/>
        <w:ind w:left="139"/>
        <w:rPr>
          <w:rFonts w:hint="eastAsia" w:ascii="宋体" w:hAnsi="宋体" w:eastAsia="宋体" w:cs="宋体"/>
          <w:spacing w:val="-9"/>
          <w:sz w:val="22"/>
          <w:szCs w:val="22"/>
        </w:rPr>
      </w:pPr>
    </w:p>
    <w:p>
      <w:pPr>
        <w:spacing w:before="171" w:line="226" w:lineRule="auto"/>
        <w:ind w:left="13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9"/>
          <w:sz w:val="22"/>
          <w:szCs w:val="22"/>
        </w:rPr>
        <w:t>（</w:t>
      </w:r>
      <w:r>
        <w:rPr>
          <w:rFonts w:hint="eastAsia" w:ascii="宋体" w:hAnsi="宋体" w:eastAsia="宋体" w:cs="宋体"/>
          <w:spacing w:val="-9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pacing w:val="-9"/>
          <w:sz w:val="22"/>
          <w:szCs w:val="22"/>
        </w:rPr>
        <w:t>）</w:t>
      </w:r>
      <w:r>
        <w:rPr>
          <w:rFonts w:hint="eastAsia" w:ascii="宋体" w:hAnsi="宋体" w:eastAsia="宋体" w:cs="宋体"/>
          <w:spacing w:val="-34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9"/>
          <w:sz w:val="22"/>
          <w:szCs w:val="22"/>
        </w:rPr>
        <w:t>基底剪力</w:t>
      </w:r>
    </w:p>
    <w:p>
      <w:pPr>
        <w:spacing w:line="121" w:lineRule="exact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5"/>
        <w:tblW w:w="8568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870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14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color="000000" w:sz="12" w:space="0"/>
            </w:tcBorders>
            <w:vAlign w:val="top"/>
          </w:tcPr>
          <w:p>
            <w:pPr>
              <w:pStyle w:val="4"/>
              <w:spacing w:before="240" w:line="220" w:lineRule="auto"/>
              <w:ind w:left="107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剪重比</w:t>
            </w:r>
          </w:p>
        </w:tc>
        <w:tc>
          <w:tcPr>
            <w:tcW w:w="2884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240" w:line="220" w:lineRule="auto"/>
              <w:ind w:left="72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有效质量系数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14" w:type="dxa"/>
            <w:tcBorders>
              <w:left w:val="single" w:color="000000" w:sz="12" w:space="0"/>
            </w:tcBorders>
            <w:vAlign w:val="top"/>
          </w:tcPr>
          <w:p>
            <w:pPr>
              <w:pStyle w:val="4"/>
              <w:spacing w:before="250" w:line="221" w:lineRule="auto"/>
              <w:ind w:left="118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X</w:t>
            </w:r>
            <w:r>
              <w:rPr>
                <w:rFonts w:hint="eastAsia" w:ascii="宋体" w:hAnsi="宋体" w:eastAsia="宋体" w:cs="宋体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向</w:t>
            </w:r>
          </w:p>
        </w:tc>
        <w:tc>
          <w:tcPr>
            <w:tcW w:w="2870" w:type="dxa"/>
            <w:vAlign w:val="top"/>
          </w:tcPr>
          <w:p>
            <w:pPr>
              <w:pStyle w:val="4"/>
              <w:spacing w:before="288" w:line="183" w:lineRule="auto"/>
              <w:ind w:left="120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2.6%</w:t>
            </w:r>
          </w:p>
        </w:tc>
        <w:tc>
          <w:tcPr>
            <w:tcW w:w="2884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288" w:line="183" w:lineRule="auto"/>
              <w:ind w:left="108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90.09%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814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>
            <w:pPr>
              <w:pStyle w:val="4"/>
              <w:spacing w:before="259" w:line="221" w:lineRule="auto"/>
              <w:ind w:left="118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Y</w:t>
            </w:r>
            <w:r>
              <w:rPr>
                <w:rFonts w:hint="eastAsia" w:ascii="宋体" w:hAnsi="宋体" w:eastAsia="宋体" w:cs="宋体"/>
                <w:spacing w:val="-27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向</w:t>
            </w:r>
          </w:p>
        </w:tc>
        <w:tc>
          <w:tcPr>
            <w:tcW w:w="2870" w:type="dxa"/>
            <w:tcBorders>
              <w:bottom w:val="single" w:color="000000" w:sz="12" w:space="0"/>
            </w:tcBorders>
            <w:vAlign w:val="top"/>
          </w:tcPr>
          <w:p>
            <w:pPr>
              <w:pStyle w:val="4"/>
              <w:spacing w:before="298" w:line="183" w:lineRule="auto"/>
              <w:ind w:left="120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3.2%</w:t>
            </w:r>
          </w:p>
        </w:tc>
        <w:tc>
          <w:tcPr>
            <w:tcW w:w="2884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296" w:line="184" w:lineRule="auto"/>
              <w:ind w:left="108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91.14%</w:t>
            </w:r>
          </w:p>
        </w:tc>
      </w:tr>
    </w:tbl>
    <w:p>
      <w:pPr>
        <w:spacing w:before="113" w:line="220" w:lineRule="auto"/>
        <w:ind w:left="132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4"/>
          <w:sz w:val="22"/>
          <w:szCs w:val="22"/>
        </w:rPr>
        <w:t>满足规范对变形和结构刚度比相关规定；</w:t>
      </w:r>
    </w:p>
    <w:p>
      <w:pPr>
        <w:spacing w:line="245" w:lineRule="auto"/>
        <w:rPr>
          <w:rFonts w:hint="eastAsia" w:ascii="宋体" w:hAnsi="宋体" w:eastAsia="宋体" w:cs="宋体"/>
          <w:sz w:val="22"/>
          <w:szCs w:val="22"/>
        </w:rPr>
      </w:pPr>
      <w:bookmarkStart w:id="0" w:name="_GoBack"/>
      <w:bookmarkEnd w:id="0"/>
    </w:p>
    <w:p>
      <w:pPr>
        <w:spacing w:before="78" w:line="467" w:lineRule="exact"/>
        <w:ind w:left="132" w:firstLine="404" w:firstLineChars="200"/>
        <w:jc w:val="left"/>
        <w:rPr>
          <w:rFonts w:hint="eastAsia" w:ascii="宋体" w:hAnsi="宋体" w:eastAsia="宋体" w:cs="宋体"/>
          <w:spacing w:val="-9"/>
          <w:position w:val="17"/>
          <w:sz w:val="22"/>
          <w:szCs w:val="22"/>
        </w:rPr>
      </w:pPr>
      <w:r>
        <w:rPr>
          <w:rFonts w:hint="eastAsia" w:ascii="宋体" w:hAnsi="宋体" w:eastAsia="宋体" w:cs="宋体"/>
          <w:spacing w:val="-9"/>
          <w:position w:val="17"/>
          <w:sz w:val="22"/>
          <w:szCs w:val="22"/>
        </w:rPr>
        <w:t>计算结果表明本工程结构体系具有足够的强</w:t>
      </w:r>
      <w:r>
        <w:rPr>
          <w:rFonts w:hint="eastAsia" w:ascii="宋体" w:hAnsi="宋体" w:eastAsia="宋体" w:cs="宋体"/>
          <w:spacing w:val="-10"/>
          <w:position w:val="17"/>
          <w:sz w:val="22"/>
          <w:szCs w:val="22"/>
        </w:rPr>
        <w:t>度和刚度，</w:t>
      </w:r>
      <w:r>
        <w:rPr>
          <w:rFonts w:hint="eastAsia" w:ascii="宋体" w:hAnsi="宋体" w:eastAsia="宋体" w:cs="宋体"/>
          <w:spacing w:val="42"/>
          <w:position w:val="17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0"/>
          <w:position w:val="17"/>
          <w:sz w:val="22"/>
          <w:szCs w:val="22"/>
        </w:rPr>
        <w:t>既能满足竖向承载要求，</w:t>
      </w:r>
      <w:r>
        <w:rPr>
          <w:rFonts w:hint="eastAsia" w:ascii="宋体" w:hAnsi="宋体" w:eastAsia="宋体" w:cs="宋体"/>
          <w:spacing w:val="30"/>
          <w:position w:val="17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0"/>
          <w:position w:val="17"/>
          <w:sz w:val="22"/>
          <w:szCs w:val="22"/>
        </w:rPr>
        <w:t>又</w:t>
      </w:r>
      <w:r>
        <w:rPr>
          <w:rFonts w:hint="eastAsia" w:ascii="宋体" w:hAnsi="宋体" w:eastAsia="宋体" w:cs="宋体"/>
          <w:spacing w:val="-9"/>
          <w:position w:val="17"/>
          <w:sz w:val="22"/>
          <w:szCs w:val="22"/>
        </w:rPr>
        <w:t>能满足水平承载（风荷载和地震作用）要求，从而保证了结构的安全使用性能。</w:t>
      </w:r>
    </w:p>
    <w:p>
      <w:pPr>
        <w:spacing w:before="78" w:line="467" w:lineRule="exact"/>
        <w:ind w:left="132"/>
        <w:jc w:val="left"/>
        <w:rPr>
          <w:rFonts w:hint="eastAsia" w:ascii="宋体" w:hAnsi="宋体" w:eastAsia="宋体" w:cs="宋体"/>
          <w:spacing w:val="-9"/>
          <w:position w:val="17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TA1NzBiMmM0ZWFiMTM3OGNiYjQzYjU4OWEzY2EifQ=="/>
  </w:docVars>
  <w:rsids>
    <w:rsidRoot w:val="064016FC"/>
    <w:rsid w:val="064016FC"/>
    <w:rsid w:val="0969226A"/>
    <w:rsid w:val="0A075D0B"/>
    <w:rsid w:val="0DE14AC5"/>
    <w:rsid w:val="1C311C4C"/>
    <w:rsid w:val="1DDE4B7D"/>
    <w:rsid w:val="20345C1E"/>
    <w:rsid w:val="2A500BB0"/>
    <w:rsid w:val="2D216834"/>
    <w:rsid w:val="40BA4B7E"/>
    <w:rsid w:val="558601D6"/>
    <w:rsid w:val="5AF727FF"/>
    <w:rsid w:val="6F85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2024-02-15T15:24:00Z</dcterms:created>
  <dc:creator>吧胰仁压灾</dc:creator>
  <cp:lastModifiedBy>吧胰仁压灾</cp:lastModifiedBy>
  <dcterms:modified xsi:type="dcterms:W3CDTF">2024-02-17T14:24:12Z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83FCDA3AA2B74561A6F1B9A5BA97B0BC_11</vt:lpwstr>
  </property>
</Properties>
</file>