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增量成本分析 </w:t>
      </w:r>
    </w:p>
    <w:tbl>
      <w:tblPr>
        <w:tblStyle w:val="5"/>
        <w:tblW w:w="955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072"/>
        <w:gridCol w:w="1338"/>
        <w:gridCol w:w="1206"/>
        <w:gridCol w:w="1078"/>
        <w:gridCol w:w="1075"/>
        <w:gridCol w:w="1062"/>
        <w:gridCol w:w="10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03" w:type="dxa"/>
            <w:vAlign w:val="top"/>
          </w:tcPr>
          <w:p>
            <w:pPr>
              <w:pStyle w:val="4"/>
              <w:spacing w:before="209" w:line="220" w:lineRule="auto"/>
              <w:ind w:left="48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技术措施</w:t>
            </w:r>
          </w:p>
        </w:tc>
        <w:tc>
          <w:tcPr>
            <w:tcW w:w="1072" w:type="dxa"/>
            <w:vAlign w:val="top"/>
          </w:tcPr>
          <w:p>
            <w:pPr>
              <w:pStyle w:val="4"/>
              <w:spacing w:before="209" w:line="220" w:lineRule="auto"/>
              <w:ind w:left="14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屋顶绿化</w:t>
            </w:r>
          </w:p>
        </w:tc>
        <w:tc>
          <w:tcPr>
            <w:tcW w:w="1338" w:type="dxa"/>
            <w:vAlign w:val="top"/>
          </w:tcPr>
          <w:p>
            <w:pPr>
              <w:pStyle w:val="4"/>
              <w:spacing w:before="209" w:line="220" w:lineRule="auto"/>
              <w:ind w:left="17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透水混凝土</w:t>
            </w:r>
          </w:p>
        </w:tc>
        <w:tc>
          <w:tcPr>
            <w:tcW w:w="1206" w:type="dxa"/>
            <w:vAlign w:val="top"/>
          </w:tcPr>
          <w:p>
            <w:pPr>
              <w:pStyle w:val="4"/>
              <w:spacing w:before="210" w:line="227" w:lineRule="auto"/>
              <w:ind w:left="10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EPDM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地垫</w:t>
            </w:r>
          </w:p>
        </w:tc>
        <w:tc>
          <w:tcPr>
            <w:tcW w:w="1078" w:type="dxa"/>
            <w:vAlign w:val="top"/>
          </w:tcPr>
          <w:p>
            <w:pPr>
              <w:pStyle w:val="4"/>
              <w:spacing w:before="209" w:line="220" w:lineRule="auto"/>
              <w:ind w:left="25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植草砖</w:t>
            </w:r>
          </w:p>
        </w:tc>
        <w:tc>
          <w:tcPr>
            <w:tcW w:w="1075" w:type="dxa"/>
            <w:vAlign w:val="top"/>
          </w:tcPr>
          <w:p>
            <w:pPr>
              <w:pStyle w:val="4"/>
              <w:spacing w:before="52" w:line="251" w:lineRule="auto"/>
              <w:ind w:left="461" w:right="131" w:hanging="3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下凹式绿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</w:t>
            </w:r>
          </w:p>
        </w:tc>
        <w:tc>
          <w:tcPr>
            <w:tcW w:w="1062" w:type="dxa"/>
            <w:vAlign w:val="top"/>
          </w:tcPr>
          <w:p>
            <w:pPr>
              <w:pStyle w:val="4"/>
              <w:spacing w:before="209" w:line="220" w:lineRule="auto"/>
              <w:ind w:left="16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雨水花园</w:t>
            </w:r>
          </w:p>
        </w:tc>
        <w:tc>
          <w:tcPr>
            <w:tcW w:w="1022" w:type="dxa"/>
            <w:vAlign w:val="top"/>
          </w:tcPr>
          <w:p>
            <w:pPr>
              <w:pStyle w:val="4"/>
              <w:spacing w:before="52" w:line="251" w:lineRule="auto"/>
              <w:ind w:left="438" w:right="112" w:hanging="3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雨水收集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03" w:type="dxa"/>
            <w:vAlign w:val="top"/>
          </w:tcPr>
          <w:p>
            <w:pPr>
              <w:pStyle w:val="4"/>
              <w:spacing w:before="67" w:line="218" w:lineRule="auto"/>
              <w:ind w:left="48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增量单价</w:t>
            </w:r>
          </w:p>
        </w:tc>
        <w:tc>
          <w:tcPr>
            <w:tcW w:w="1072" w:type="dxa"/>
            <w:vAlign w:val="top"/>
          </w:tcPr>
          <w:p>
            <w:pPr>
              <w:pStyle w:val="4"/>
              <w:spacing w:before="67" w:line="220" w:lineRule="auto"/>
              <w:ind w:left="125"/>
              <w:jc w:val="both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/m</w:t>
            </w:r>
            <w:r>
              <w:rPr>
                <w:rFonts w:hint="eastAsia" w:ascii="宋体" w:hAnsi="宋体" w:eastAsia="宋体" w:cs="宋体"/>
                <w:spacing w:val="-2"/>
                <w:position w:val="7"/>
                <w:sz w:val="14"/>
                <w:szCs w:val="14"/>
              </w:rPr>
              <w:t>2</w:t>
            </w:r>
          </w:p>
        </w:tc>
        <w:tc>
          <w:tcPr>
            <w:tcW w:w="1338" w:type="dxa"/>
            <w:vAlign w:val="top"/>
          </w:tcPr>
          <w:p>
            <w:pPr>
              <w:pStyle w:val="4"/>
              <w:spacing w:before="67" w:line="220" w:lineRule="auto"/>
              <w:ind w:left="29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㎡</w:t>
            </w:r>
          </w:p>
        </w:tc>
        <w:tc>
          <w:tcPr>
            <w:tcW w:w="1206" w:type="dxa"/>
            <w:vAlign w:val="top"/>
          </w:tcPr>
          <w:p>
            <w:pPr>
              <w:pStyle w:val="4"/>
              <w:spacing w:before="67" w:line="220" w:lineRule="auto"/>
              <w:ind w:left="23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120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㎡</w:t>
            </w:r>
          </w:p>
        </w:tc>
        <w:tc>
          <w:tcPr>
            <w:tcW w:w="1078" w:type="dxa"/>
            <w:vAlign w:val="top"/>
          </w:tcPr>
          <w:p>
            <w:pPr>
              <w:pStyle w:val="4"/>
              <w:spacing w:before="67" w:line="220" w:lineRule="auto"/>
              <w:ind w:left="16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㎡</w:t>
            </w:r>
          </w:p>
        </w:tc>
        <w:tc>
          <w:tcPr>
            <w:tcW w:w="1075" w:type="dxa"/>
            <w:vAlign w:val="top"/>
          </w:tcPr>
          <w:p>
            <w:pPr>
              <w:pStyle w:val="4"/>
              <w:spacing w:before="67" w:line="220" w:lineRule="auto"/>
              <w:ind w:left="149"/>
              <w:jc w:val="both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/m</w:t>
            </w:r>
            <w:r>
              <w:rPr>
                <w:rFonts w:hint="eastAsia" w:ascii="宋体" w:hAnsi="宋体" w:eastAsia="宋体" w:cs="宋体"/>
                <w:spacing w:val="-5"/>
                <w:position w:val="7"/>
                <w:sz w:val="14"/>
                <w:szCs w:val="14"/>
              </w:rPr>
              <w:t>2</w:t>
            </w:r>
          </w:p>
        </w:tc>
        <w:tc>
          <w:tcPr>
            <w:tcW w:w="1062" w:type="dxa"/>
            <w:vAlign w:val="top"/>
          </w:tcPr>
          <w:p>
            <w:pPr>
              <w:pStyle w:val="4"/>
              <w:spacing w:before="67" w:line="220" w:lineRule="auto"/>
              <w:ind w:left="14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㎡</w:t>
            </w:r>
          </w:p>
        </w:tc>
        <w:tc>
          <w:tcPr>
            <w:tcW w:w="1022" w:type="dxa"/>
            <w:vAlign w:val="top"/>
          </w:tcPr>
          <w:p>
            <w:pPr>
              <w:spacing w:before="102" w:line="190" w:lineRule="auto"/>
              <w:ind w:left="19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3000/m³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03" w:type="dxa"/>
            <w:vAlign w:val="top"/>
          </w:tcPr>
          <w:p>
            <w:pPr>
              <w:pStyle w:val="4"/>
              <w:spacing w:before="183" w:line="221" w:lineRule="auto"/>
              <w:ind w:left="58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应用量</w:t>
            </w:r>
          </w:p>
        </w:tc>
        <w:tc>
          <w:tcPr>
            <w:tcW w:w="1072" w:type="dxa"/>
            <w:vAlign w:val="top"/>
          </w:tcPr>
          <w:p>
            <w:pPr>
              <w:spacing w:before="222" w:line="186" w:lineRule="auto"/>
              <w:ind w:left="28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213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.06</w:t>
            </w:r>
          </w:p>
        </w:tc>
        <w:tc>
          <w:tcPr>
            <w:tcW w:w="1338" w:type="dxa"/>
            <w:vAlign w:val="top"/>
          </w:tcPr>
          <w:p>
            <w:pPr>
              <w:spacing w:before="222" w:line="186" w:lineRule="auto"/>
              <w:ind w:left="37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1093.58</w:t>
            </w:r>
          </w:p>
        </w:tc>
        <w:tc>
          <w:tcPr>
            <w:tcW w:w="1206" w:type="dxa"/>
            <w:vAlign w:val="top"/>
          </w:tcPr>
          <w:p>
            <w:pPr>
              <w:spacing w:before="222" w:line="186" w:lineRule="auto"/>
              <w:ind w:left="31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1260.51</w:t>
            </w:r>
          </w:p>
        </w:tc>
        <w:tc>
          <w:tcPr>
            <w:tcW w:w="1078" w:type="dxa"/>
            <w:vAlign w:val="top"/>
          </w:tcPr>
          <w:p>
            <w:pPr>
              <w:spacing w:before="222" w:line="186" w:lineRule="auto"/>
              <w:ind w:left="27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256.36</w:t>
            </w:r>
          </w:p>
        </w:tc>
        <w:tc>
          <w:tcPr>
            <w:tcW w:w="1075" w:type="dxa"/>
            <w:vAlign w:val="top"/>
          </w:tcPr>
          <w:p>
            <w:pPr>
              <w:spacing w:before="222" w:line="186" w:lineRule="auto"/>
              <w:ind w:left="28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578.39</w:t>
            </w:r>
          </w:p>
        </w:tc>
        <w:tc>
          <w:tcPr>
            <w:tcW w:w="1062" w:type="dxa"/>
            <w:vAlign w:val="top"/>
          </w:tcPr>
          <w:p>
            <w:pPr>
              <w:spacing w:before="222" w:line="186" w:lineRule="auto"/>
              <w:ind w:left="27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427.91</w:t>
            </w:r>
          </w:p>
        </w:tc>
        <w:tc>
          <w:tcPr>
            <w:tcW w:w="1022" w:type="dxa"/>
            <w:vAlign w:val="top"/>
          </w:tcPr>
          <w:p>
            <w:pPr>
              <w:spacing w:before="222" w:line="186" w:lineRule="auto"/>
              <w:ind w:left="40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130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03" w:type="dxa"/>
            <w:vAlign w:val="top"/>
          </w:tcPr>
          <w:p>
            <w:pPr>
              <w:pStyle w:val="4"/>
              <w:spacing w:before="54" w:line="219" w:lineRule="auto"/>
              <w:ind w:righ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增量成本（万元）</w:t>
            </w:r>
          </w:p>
        </w:tc>
        <w:tc>
          <w:tcPr>
            <w:tcW w:w="1072" w:type="dxa"/>
            <w:vAlign w:val="top"/>
          </w:tcPr>
          <w:p>
            <w:pPr>
              <w:spacing w:before="93" w:line="186" w:lineRule="auto"/>
              <w:ind w:left="343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val="en-US" w:eastAsia="zh-CN"/>
              </w:rPr>
              <w:t>4.26</w:t>
            </w:r>
          </w:p>
        </w:tc>
        <w:tc>
          <w:tcPr>
            <w:tcW w:w="1338" w:type="dxa"/>
            <w:vAlign w:val="top"/>
          </w:tcPr>
          <w:p>
            <w:pPr>
              <w:spacing w:before="93" w:line="186" w:lineRule="auto"/>
              <w:ind w:left="48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10.94</w:t>
            </w:r>
          </w:p>
        </w:tc>
        <w:tc>
          <w:tcPr>
            <w:tcW w:w="1206" w:type="dxa"/>
            <w:vAlign w:val="top"/>
          </w:tcPr>
          <w:p>
            <w:pPr>
              <w:spacing w:before="93" w:line="186" w:lineRule="auto"/>
              <w:ind w:left="41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15.13</w:t>
            </w:r>
          </w:p>
        </w:tc>
        <w:tc>
          <w:tcPr>
            <w:tcW w:w="1078" w:type="dxa"/>
            <w:vAlign w:val="top"/>
          </w:tcPr>
          <w:p>
            <w:pPr>
              <w:spacing w:before="93" w:line="186" w:lineRule="auto"/>
              <w:ind w:left="38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2.56</w:t>
            </w:r>
          </w:p>
        </w:tc>
        <w:tc>
          <w:tcPr>
            <w:tcW w:w="1075" w:type="dxa"/>
            <w:vAlign w:val="top"/>
          </w:tcPr>
          <w:p>
            <w:pPr>
              <w:spacing w:before="93" w:line="186" w:lineRule="auto"/>
              <w:ind w:left="38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5.78</w:t>
            </w:r>
          </w:p>
        </w:tc>
        <w:tc>
          <w:tcPr>
            <w:tcW w:w="1062" w:type="dxa"/>
            <w:vAlign w:val="top"/>
          </w:tcPr>
          <w:p>
            <w:pPr>
              <w:spacing w:before="93" w:line="186" w:lineRule="auto"/>
              <w:ind w:left="39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8.56</w:t>
            </w:r>
          </w:p>
        </w:tc>
        <w:tc>
          <w:tcPr>
            <w:tcW w:w="1022" w:type="dxa"/>
            <w:vAlign w:val="top"/>
          </w:tcPr>
          <w:p>
            <w:pPr>
              <w:spacing w:before="93" w:line="186" w:lineRule="auto"/>
              <w:ind w:left="30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703" w:type="dxa"/>
            <w:vAlign w:val="top"/>
          </w:tcPr>
          <w:p>
            <w:pPr>
              <w:pStyle w:val="4"/>
              <w:spacing w:before="58" w:line="220" w:lineRule="auto"/>
              <w:ind w:left="27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合计（万元）</w:t>
            </w:r>
          </w:p>
        </w:tc>
        <w:tc>
          <w:tcPr>
            <w:tcW w:w="7853" w:type="dxa"/>
            <w:gridSpan w:val="7"/>
            <w:tcBorders>
              <w:right w:val="nil"/>
            </w:tcBorders>
            <w:vAlign w:val="top"/>
          </w:tcPr>
          <w:p>
            <w:pPr>
              <w:spacing w:before="97" w:line="186" w:lineRule="auto"/>
              <w:ind w:left="391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86.23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成本增量效益分析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（一）经济效益分析；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节能量分析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项目严格依据节能标准进行节能设计，建筑节能率不低于 50%。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2.节水量分析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本项目采用了所有卫生器具全部采用节水器具，用水效率等级 2 级。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3.节材量分析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本项目受力钢筋主要采用 HRB400 级钢筋，建筑材料大量采用玻璃、铝合金、木材、钢材等可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再循环和可再利用材料，所有的现浇混凝土和建筑砂浆均采用预拌混凝土和预拌砂浆。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4.小结（应包含回收期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分析等）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本项目建筑设计时充分考虑绿色建筑的要求，以被动技术为主，结合主动技术，实现项目的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节能、节水、节材、节地与室内环境改善的要求。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（二）环境效益分析；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项目的建设和运营不会破坏区域的生态环境，不对外排放超标污染源；项目采用低反射比的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玻璃，不会对周边噪声光污染；项目进行海绵城市设计，雨水场地内就地消纳，降低降雨时市政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的排水压力。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（三）社会效益分析；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本项目建设进行整体规划设计，将为周边居民提供优良的教育条件及教育环境。 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LHEI + SimSu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zE0ODgzYTQzZWMwODVmNTliMTcyZjVkNGNiODQifQ=="/>
  </w:docVars>
  <w:rsids>
    <w:rsidRoot w:val="76760E4D"/>
    <w:rsid w:val="2F7431E9"/>
    <w:rsid w:val="7676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2024-03-17T13:53:00Z</dcterms:created>
  <dc:creator>伺妥玖臣聊</dc:creator>
  <cp:lastModifiedBy>伺妥玖臣聊</cp:lastModifiedBy>
  <dcterms:modified xsi:type="dcterms:W3CDTF">2024-03-17T14:01:28Z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F679AD66B26E470DA9E8C3EA1B4400AB_11</vt:lpwstr>
  </property>
</Properties>
</file>