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b w:val="0"/>
          <w:bCs w:val="0"/>
          <w:sz w:val="22"/>
          <w:szCs w:val="22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2"/>
          <w:szCs w:val="22"/>
          <w:lang w:val="en-US" w:eastAsia="zh-CN" w:bidi="ar"/>
        </w:rPr>
        <w:t>风荷载：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2"/>
          <w:szCs w:val="22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ind w:firstLine="440" w:firstLineChars="200"/>
        <w:jc w:val="left"/>
        <w:rPr>
          <w:rFonts w:hint="eastAsia" w:ascii="宋体" w:hAnsi="宋体" w:eastAsia="宋体" w:cs="宋体"/>
          <w:color w:val="000000"/>
          <w:kern w:val="0"/>
          <w:sz w:val="22"/>
          <w:szCs w:val="22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2"/>
          <w:szCs w:val="22"/>
          <w:lang w:val="en-US" w:eastAsia="zh-CN" w:bidi="ar"/>
        </w:rPr>
        <w:t xml:space="preserve">本工程为高度小于 60 米的多层结构，承载力计算时基本风压取 0.75kN/m2（50 年一遇），地面粗糙度类别为 C 类。 </w:t>
      </w:r>
    </w:p>
    <w:p>
      <w:pPr>
        <w:keepNext w:val="0"/>
        <w:keepLines w:val="0"/>
        <w:widowControl/>
        <w:suppressLineNumbers w:val="0"/>
        <w:jc w:val="both"/>
        <w:rPr>
          <w:rFonts w:hint="eastAsia" w:ascii="宋体" w:hAnsi="宋体" w:eastAsia="宋体" w:cs="宋体"/>
          <w:color w:val="000000"/>
          <w:kern w:val="0"/>
          <w:sz w:val="22"/>
          <w:szCs w:val="22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2"/>
          <w:szCs w:val="22"/>
          <w:lang w:val="en-US" w:eastAsia="zh-CN" w:bidi="ar"/>
        </w:rPr>
        <w:t>地震作用：</w:t>
      </w:r>
      <w:r>
        <w:rPr>
          <w:rFonts w:hint="eastAsia" w:ascii="宋体" w:hAnsi="宋体" w:eastAsia="宋体" w:cs="宋体"/>
          <w:color w:val="000000"/>
          <w:kern w:val="0"/>
          <w:sz w:val="22"/>
          <w:szCs w:val="22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ind w:firstLine="440" w:firstLineChars="200"/>
        <w:jc w:val="left"/>
        <w:rPr>
          <w:rFonts w:hint="eastAsia" w:ascii="宋体" w:hAnsi="宋体" w:eastAsia="宋体" w:cs="宋体"/>
          <w:color w:val="000000"/>
          <w:kern w:val="0"/>
          <w:sz w:val="22"/>
          <w:szCs w:val="22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2"/>
          <w:szCs w:val="22"/>
          <w:lang w:val="en-US" w:eastAsia="zh-CN" w:bidi="ar"/>
        </w:rPr>
        <w:t xml:space="preserve">本工程位于抗震设防烈度七度区，设计基本地震加速度为 0.10g，设计地震分组为第一组,设计特征周期为 0.35s，水平地震影响系数最大值为 0.50(罕遇地震 0.72)。 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color w:val="000000"/>
          <w:kern w:val="0"/>
          <w:sz w:val="22"/>
          <w:szCs w:val="22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2"/>
          <w:szCs w:val="22"/>
          <w:lang w:val="en-US" w:eastAsia="zh-CN" w:bidi="ar"/>
        </w:rPr>
        <w:t>设计参数：</w:t>
      </w:r>
      <w:r>
        <w:rPr>
          <w:rFonts w:hint="eastAsia" w:ascii="宋体" w:hAnsi="宋体" w:eastAsia="宋体" w:cs="宋体"/>
          <w:color w:val="000000"/>
          <w:kern w:val="0"/>
          <w:sz w:val="22"/>
          <w:szCs w:val="22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ind w:firstLine="440" w:firstLineChars="200"/>
        <w:jc w:val="left"/>
        <w:rPr>
          <w:rFonts w:hint="eastAsia" w:ascii="宋体" w:hAnsi="宋体" w:eastAsia="宋体" w:cs="宋体"/>
          <w:color w:val="000000"/>
          <w:kern w:val="0"/>
          <w:sz w:val="22"/>
          <w:szCs w:val="22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2"/>
          <w:szCs w:val="22"/>
          <w:lang w:val="en-US" w:eastAsia="zh-CN" w:bidi="ar"/>
        </w:rPr>
        <w:t xml:space="preserve"> 本工程建筑结构的安全等级：二级；设计使用年限：50 年；抗震设防类别：乙类；场地类别：Ⅱ类；建筑耐火等级为一级；地下室耐火等级为一级；地下工程防水等级为二级。</w:t>
      </w:r>
    </w:p>
    <w:p>
      <w:pPr>
        <w:keepNext w:val="0"/>
        <w:keepLines w:val="0"/>
        <w:widowControl/>
        <w:suppressLineNumbers w:val="0"/>
        <w:ind w:firstLine="442" w:firstLineChars="200"/>
        <w:jc w:val="left"/>
        <w:rPr>
          <w:rFonts w:hint="eastAsia" w:ascii="宋体" w:hAnsi="宋体" w:eastAsia="宋体" w:cs="宋体"/>
          <w:color w:val="000000"/>
          <w:kern w:val="0"/>
          <w:sz w:val="22"/>
          <w:szCs w:val="22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2"/>
          <w:szCs w:val="22"/>
          <w:lang w:val="en-US" w:eastAsia="zh-CN" w:bidi="ar"/>
        </w:rPr>
        <w:t>地基基础</w:t>
      </w:r>
      <w:r>
        <w:rPr>
          <w:rFonts w:hint="eastAsia" w:ascii="宋体" w:hAnsi="宋体" w:eastAsia="宋体" w:cs="宋体"/>
          <w:color w:val="000000"/>
          <w:kern w:val="0"/>
          <w:sz w:val="22"/>
          <w:szCs w:val="22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ind w:firstLine="440" w:firstLineChars="200"/>
        <w:jc w:val="left"/>
        <w:rPr>
          <w:rFonts w:hint="eastAsia" w:ascii="宋体" w:hAnsi="宋体" w:eastAsia="宋体" w:cs="宋体"/>
          <w:color w:val="000000"/>
          <w:kern w:val="0"/>
          <w:sz w:val="22"/>
          <w:szCs w:val="22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2"/>
          <w:szCs w:val="22"/>
          <w:lang w:val="en-US" w:eastAsia="zh-CN" w:bidi="ar"/>
        </w:rPr>
        <w:t xml:space="preserve">(1) 1.根据地质勘探报告,本工程采用独立基础+防水板及旋挖桩基础形式, 局部坑底标高变化较大处酌情采用人工挖孔桩、人工挖孔墩基础进行补充。独立基础持力层为中、微风化混合花岗岩；旋挖桩持力层为中风化，入岩 0.5m。旋挖桩径取 1m 及 1.2m，人工挖孔桩、人工挖孔墩直径取 1.2m。本工程四层地下室，采用了抗拔锚杆进行抗浮. </w:t>
      </w:r>
    </w:p>
    <w:p>
      <w:pPr>
        <w:keepNext w:val="0"/>
        <w:keepLines w:val="0"/>
        <w:widowControl/>
        <w:suppressLineNumbers w:val="0"/>
        <w:ind w:firstLine="440" w:firstLineChars="200"/>
        <w:jc w:val="left"/>
        <w:rPr>
          <w:rFonts w:hint="eastAsia" w:ascii="宋体" w:hAnsi="宋体" w:eastAsia="宋体" w:cs="宋体"/>
          <w:color w:val="000000"/>
          <w:kern w:val="0"/>
          <w:sz w:val="22"/>
          <w:szCs w:val="22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2"/>
          <w:szCs w:val="22"/>
          <w:lang w:val="en-US" w:eastAsia="zh-CN" w:bidi="ar"/>
        </w:rPr>
        <w:t xml:space="preserve">（2）场地土类别为Ⅱ类，勘察期间测得其水位埋深标高介于 48.46~63.40，场地内地下水水质对砼结构不具腐蚀性，对钢筋砼结构中的钢筋不具腐蚀性，但对钢结构具弱腐蚀性。 </w:t>
      </w:r>
    </w:p>
    <w:p>
      <w:pPr>
        <w:keepNext w:val="0"/>
        <w:keepLines w:val="0"/>
        <w:widowControl/>
        <w:suppressLineNumbers w:val="0"/>
        <w:ind w:firstLine="440" w:firstLineChars="200"/>
        <w:jc w:val="left"/>
        <w:rPr>
          <w:rFonts w:hint="eastAsia" w:ascii="宋体" w:hAnsi="宋体" w:eastAsia="宋体" w:cs="宋体"/>
          <w:color w:val="000000"/>
          <w:kern w:val="0"/>
          <w:sz w:val="22"/>
          <w:szCs w:val="22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2"/>
          <w:szCs w:val="22"/>
          <w:lang w:val="en-US" w:eastAsia="zh-CN" w:bidi="ar"/>
        </w:rPr>
        <w:t xml:space="preserve">（3）高层主楼与裙房及地下车库之间不设沉降缝，地下室连为一整体。不同基础所产生的沉降差，由沉降后浇带相互调剂。 </w:t>
      </w:r>
    </w:p>
    <w:p>
      <w:pPr>
        <w:keepNext w:val="0"/>
        <w:keepLines w:val="0"/>
        <w:widowControl/>
        <w:suppressLineNumbers w:val="0"/>
        <w:ind w:firstLine="440" w:firstLineChars="200"/>
        <w:jc w:val="left"/>
        <w:rPr>
          <w:rFonts w:hint="eastAsia" w:ascii="宋体" w:hAnsi="宋体" w:eastAsia="宋体" w:cs="宋体"/>
          <w:color w:val="000000"/>
          <w:kern w:val="0"/>
          <w:sz w:val="22"/>
          <w:szCs w:val="22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2"/>
          <w:szCs w:val="22"/>
          <w:lang w:val="en-US" w:eastAsia="zh-CN" w:bidi="ar"/>
        </w:rPr>
        <w:t xml:space="preserve">(4) 本工程地基基础设计等级为甲级，建筑桩基设计等级为甲级。 </w:t>
      </w:r>
    </w:p>
    <w:p>
      <w:pPr>
        <w:keepNext w:val="0"/>
        <w:keepLines w:val="0"/>
        <w:widowControl/>
        <w:suppressLineNumbers w:val="0"/>
        <w:ind w:firstLine="442" w:firstLineChars="200"/>
        <w:jc w:val="left"/>
        <w:rPr>
          <w:rFonts w:hint="eastAsia" w:ascii="宋体" w:hAnsi="宋体" w:eastAsia="宋体" w:cs="宋体"/>
          <w:b/>
          <w:bCs/>
          <w:color w:val="000000"/>
          <w:kern w:val="0"/>
          <w:sz w:val="22"/>
          <w:szCs w:val="22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2"/>
          <w:szCs w:val="22"/>
          <w:lang w:val="en-US" w:eastAsia="zh-CN" w:bidi="ar"/>
        </w:rPr>
        <w:t xml:space="preserve">抗震缝、后浇带 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color w:val="000000"/>
          <w:kern w:val="0"/>
          <w:sz w:val="22"/>
          <w:szCs w:val="22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2"/>
          <w:szCs w:val="22"/>
          <w:lang w:val="en-US" w:eastAsia="zh-CN" w:bidi="ar"/>
        </w:rPr>
        <w:t xml:space="preserve">地上部分结合建筑平面，利用抗震缝将一栋五层裙房分为三个独立的结构单元。 </w:t>
      </w:r>
    </w:p>
    <w:p>
      <w:pPr>
        <w:keepNext w:val="0"/>
        <w:keepLines w:val="0"/>
        <w:widowControl/>
        <w:suppressLineNumbers w:val="0"/>
        <w:ind w:firstLine="442" w:firstLineChars="200"/>
        <w:jc w:val="left"/>
        <w:rPr>
          <w:rFonts w:hint="eastAsia" w:ascii="宋体" w:hAnsi="宋体" w:eastAsia="宋体" w:cs="宋体"/>
          <w:color w:val="000000"/>
          <w:kern w:val="0"/>
          <w:sz w:val="22"/>
          <w:szCs w:val="22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2"/>
          <w:szCs w:val="22"/>
          <w:lang w:val="en-US" w:eastAsia="zh-CN" w:bidi="ar"/>
        </w:rPr>
        <w:t>结构体系</w:t>
      </w:r>
      <w:r>
        <w:rPr>
          <w:rFonts w:hint="eastAsia" w:ascii="宋体" w:hAnsi="宋体" w:eastAsia="宋体" w:cs="宋体"/>
          <w:color w:val="000000"/>
          <w:kern w:val="0"/>
          <w:sz w:val="22"/>
          <w:szCs w:val="22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ind w:firstLine="440" w:firstLineChars="200"/>
        <w:jc w:val="left"/>
        <w:rPr>
          <w:rFonts w:hint="eastAsia" w:ascii="宋体" w:hAnsi="宋体" w:eastAsia="宋体" w:cs="宋体"/>
          <w:color w:val="000000"/>
          <w:kern w:val="0"/>
          <w:sz w:val="22"/>
          <w:szCs w:val="22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2"/>
          <w:szCs w:val="22"/>
          <w:lang w:val="en-US" w:eastAsia="zh-CN" w:bidi="ar"/>
        </w:rPr>
        <w:t xml:space="preserve">结构平面布置不规则，通过加大周边梁的截面、在周边增加剪力墙，加大薄弱处的楼板配筋等构造措施加强。 地下室顶板、房屋的顶层屋面板均予以加强。通过以上措施提高结构的抗震能力。 </w:t>
      </w:r>
    </w:p>
    <w:p>
      <w:pPr>
        <w:keepNext w:val="0"/>
        <w:keepLines w:val="0"/>
        <w:widowControl/>
        <w:suppressLineNumbers w:val="0"/>
        <w:ind w:firstLine="442" w:firstLineChars="200"/>
        <w:jc w:val="left"/>
        <w:rPr>
          <w:rFonts w:hint="eastAsia" w:ascii="宋体" w:hAnsi="宋体" w:eastAsia="宋体" w:cs="宋体"/>
          <w:b/>
          <w:bCs/>
          <w:color w:val="000000"/>
          <w:kern w:val="0"/>
          <w:sz w:val="22"/>
          <w:szCs w:val="22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2"/>
          <w:szCs w:val="22"/>
          <w:lang w:val="en-US" w:eastAsia="zh-CN" w:bidi="ar"/>
        </w:rPr>
        <w:t xml:space="preserve">楼盖体系 </w:t>
      </w:r>
    </w:p>
    <w:p>
      <w:pPr>
        <w:keepNext w:val="0"/>
        <w:keepLines w:val="0"/>
        <w:widowControl/>
        <w:suppressLineNumbers w:val="0"/>
        <w:ind w:firstLine="440" w:firstLineChars="200"/>
        <w:jc w:val="left"/>
        <w:rPr>
          <w:rFonts w:hint="eastAsia" w:ascii="宋体" w:hAnsi="宋体" w:eastAsia="宋体" w:cs="宋体"/>
          <w:color w:val="000000"/>
          <w:kern w:val="0"/>
          <w:sz w:val="22"/>
          <w:szCs w:val="22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2"/>
          <w:szCs w:val="22"/>
          <w:lang w:val="en-US" w:eastAsia="zh-CN" w:bidi="ar"/>
        </w:rPr>
        <w:t>楼盖采用现浇钢筋混凝土主次梁楼盖体系。</w:t>
      </w:r>
    </w:p>
    <w:p>
      <w:pPr>
        <w:keepNext w:val="0"/>
        <w:keepLines w:val="0"/>
        <w:widowControl/>
        <w:suppressLineNumbers w:val="0"/>
        <w:ind w:firstLine="440" w:firstLineChars="200"/>
        <w:jc w:val="left"/>
        <w:rPr>
          <w:rFonts w:hint="eastAsia" w:ascii="宋体" w:hAnsi="宋体" w:eastAsia="宋体" w:cs="宋体"/>
          <w:color w:val="000000"/>
          <w:kern w:val="0"/>
          <w:sz w:val="22"/>
          <w:szCs w:val="22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ind w:firstLine="440" w:firstLineChars="200"/>
        <w:jc w:val="left"/>
        <w:rPr>
          <w:rFonts w:hint="eastAsia" w:ascii="宋体" w:hAnsi="宋体" w:eastAsia="宋体" w:cs="宋体"/>
          <w:b/>
          <w:bCs/>
          <w:color w:val="000000"/>
          <w:kern w:val="0"/>
          <w:sz w:val="22"/>
          <w:szCs w:val="22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2"/>
          <w:szCs w:val="22"/>
          <w:lang w:val="en-US" w:eastAsia="zh-CN" w:bidi="ar"/>
        </w:rPr>
        <w:t xml:space="preserve">本工程使用盈建科建筑结构计算模块——YJK-A[1.9.3]进行结构整体计算分析。地震作用和风荷载按两个主轴方向作用，结构转换层按规范要求指定为薄弱层，其对应于地震作用标准值的地震剪力乘以 1.15 的增大系数。 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b/>
          <w:bCs/>
          <w:sz w:val="22"/>
          <w:szCs w:val="22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2"/>
          <w:szCs w:val="22"/>
          <w:lang w:val="en-US" w:eastAsia="zh-CN" w:bidi="ar"/>
        </w:rPr>
        <w:t xml:space="preserve">计算主要结果 </w:t>
      </w:r>
    </w:p>
    <w:p>
      <w:pPr>
        <w:spacing w:before="182" w:line="220" w:lineRule="auto"/>
        <w:ind w:left="211"/>
        <w:rPr>
          <w:rFonts w:hint="eastAsia" w:ascii="宋体" w:hAnsi="宋体" w:eastAsia="宋体" w:cs="宋体"/>
          <w:sz w:val="22"/>
          <w:szCs w:val="22"/>
        </w:rPr>
      </w:pPr>
      <w:r>
        <w:rPr>
          <w:rFonts w:hint="eastAsia" w:ascii="宋体" w:hAnsi="宋体" w:eastAsia="宋体" w:cs="宋体"/>
          <w:spacing w:val="-2"/>
          <w:sz w:val="22"/>
          <w:szCs w:val="22"/>
        </w:rPr>
        <w:t>（1）结构自振周期（列前六个振型）</w:t>
      </w:r>
    </w:p>
    <w:p>
      <w:pPr>
        <w:spacing w:line="68" w:lineRule="exact"/>
        <w:rPr>
          <w:rFonts w:hint="eastAsia" w:ascii="宋体" w:hAnsi="宋体" w:eastAsia="宋体" w:cs="宋体"/>
          <w:sz w:val="22"/>
          <w:szCs w:val="22"/>
        </w:rPr>
      </w:pPr>
    </w:p>
    <w:tbl>
      <w:tblPr>
        <w:tblStyle w:val="5"/>
        <w:tblW w:w="8458" w:type="dxa"/>
        <w:tblInd w:w="85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38"/>
        <w:gridCol w:w="1693"/>
        <w:gridCol w:w="1064"/>
        <w:gridCol w:w="2759"/>
        <w:gridCol w:w="1804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1138" w:type="dxa"/>
            <w:vAlign w:val="top"/>
          </w:tcPr>
          <w:p>
            <w:pPr>
              <w:pStyle w:val="4"/>
              <w:spacing w:before="119" w:line="220" w:lineRule="auto"/>
              <w:ind w:left="215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-2"/>
                <w:sz w:val="22"/>
                <w:szCs w:val="22"/>
              </w:rPr>
              <w:t>振型号</w:t>
            </w:r>
          </w:p>
        </w:tc>
        <w:tc>
          <w:tcPr>
            <w:tcW w:w="1693" w:type="dxa"/>
            <w:vAlign w:val="top"/>
          </w:tcPr>
          <w:p>
            <w:pPr>
              <w:pStyle w:val="4"/>
              <w:spacing w:before="119" w:line="220" w:lineRule="auto"/>
              <w:ind w:left="253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-9"/>
                <w:sz w:val="22"/>
                <w:szCs w:val="22"/>
              </w:rPr>
              <w:t>周期</w:t>
            </w:r>
            <w:r>
              <w:rPr>
                <w:rFonts w:hint="eastAsia" w:ascii="宋体" w:hAnsi="宋体" w:eastAsia="宋体" w:cs="宋体"/>
                <w:spacing w:val="78"/>
                <w:sz w:val="22"/>
                <w:szCs w:val="22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9"/>
                <w:sz w:val="22"/>
                <w:szCs w:val="22"/>
              </w:rPr>
              <w:t>（s）</w:t>
            </w:r>
          </w:p>
        </w:tc>
        <w:tc>
          <w:tcPr>
            <w:tcW w:w="1064" w:type="dxa"/>
            <w:vAlign w:val="top"/>
          </w:tcPr>
          <w:p>
            <w:pPr>
              <w:pStyle w:val="4"/>
              <w:spacing w:before="118" w:line="219" w:lineRule="auto"/>
              <w:ind w:left="300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-3"/>
                <w:sz w:val="22"/>
                <w:szCs w:val="22"/>
              </w:rPr>
              <w:t>转角</w:t>
            </w:r>
          </w:p>
        </w:tc>
        <w:tc>
          <w:tcPr>
            <w:tcW w:w="2759" w:type="dxa"/>
            <w:vAlign w:val="top"/>
          </w:tcPr>
          <w:p>
            <w:pPr>
              <w:pStyle w:val="4"/>
              <w:spacing w:before="118" w:line="220" w:lineRule="auto"/>
              <w:ind w:left="487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-3"/>
                <w:sz w:val="22"/>
                <w:szCs w:val="22"/>
              </w:rPr>
              <w:t>平动系数（X+Y）</w:t>
            </w:r>
          </w:p>
        </w:tc>
        <w:tc>
          <w:tcPr>
            <w:tcW w:w="1804" w:type="dxa"/>
            <w:vAlign w:val="top"/>
          </w:tcPr>
          <w:p>
            <w:pPr>
              <w:pStyle w:val="4"/>
              <w:spacing w:before="118" w:line="220" w:lineRule="auto"/>
              <w:ind w:left="559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-2"/>
                <w:sz w:val="22"/>
                <w:szCs w:val="22"/>
              </w:rPr>
              <w:t>扭转系数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1138" w:type="dxa"/>
            <w:vAlign w:val="top"/>
          </w:tcPr>
          <w:p>
            <w:pPr>
              <w:pStyle w:val="4"/>
              <w:spacing w:before="152" w:line="184" w:lineRule="auto"/>
              <w:ind w:left="534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1</w:t>
            </w:r>
          </w:p>
        </w:tc>
        <w:tc>
          <w:tcPr>
            <w:tcW w:w="1693" w:type="dxa"/>
            <w:vAlign w:val="top"/>
          </w:tcPr>
          <w:p>
            <w:pPr>
              <w:pStyle w:val="4"/>
              <w:spacing w:before="152" w:line="184" w:lineRule="auto"/>
              <w:ind w:left="510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-4"/>
                <w:sz w:val="22"/>
                <w:szCs w:val="22"/>
              </w:rPr>
              <w:t>1.6294</w:t>
            </w:r>
          </w:p>
        </w:tc>
        <w:tc>
          <w:tcPr>
            <w:tcW w:w="1064" w:type="dxa"/>
            <w:vAlign w:val="top"/>
          </w:tcPr>
          <w:p>
            <w:pPr>
              <w:pStyle w:val="4"/>
              <w:spacing w:before="153" w:line="183" w:lineRule="auto"/>
              <w:ind w:left="242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-2"/>
                <w:sz w:val="22"/>
                <w:szCs w:val="22"/>
              </w:rPr>
              <w:t>28.58</w:t>
            </w:r>
          </w:p>
        </w:tc>
        <w:tc>
          <w:tcPr>
            <w:tcW w:w="2759" w:type="dxa"/>
            <w:vAlign w:val="top"/>
          </w:tcPr>
          <w:p>
            <w:pPr>
              <w:pStyle w:val="4"/>
              <w:spacing w:before="115" w:line="222" w:lineRule="auto"/>
              <w:ind w:left="310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-4"/>
                <w:sz w:val="22"/>
                <w:szCs w:val="22"/>
              </w:rPr>
              <w:t>0.84</w:t>
            </w:r>
            <w:r>
              <w:rPr>
                <w:rFonts w:hint="eastAsia" w:ascii="宋体" w:hAnsi="宋体" w:eastAsia="宋体" w:cs="宋体"/>
                <w:spacing w:val="51"/>
                <w:sz w:val="22"/>
                <w:szCs w:val="22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4"/>
                <w:sz w:val="22"/>
                <w:szCs w:val="22"/>
              </w:rPr>
              <w:t>( 0.63+0.21</w:t>
            </w:r>
            <w:r>
              <w:rPr>
                <w:rFonts w:hint="eastAsia" w:ascii="宋体" w:hAnsi="宋体" w:eastAsia="宋体" w:cs="宋体"/>
                <w:spacing w:val="11"/>
                <w:sz w:val="22"/>
                <w:szCs w:val="22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4"/>
                <w:sz w:val="22"/>
                <w:szCs w:val="22"/>
              </w:rPr>
              <w:t>)</w:t>
            </w:r>
          </w:p>
        </w:tc>
        <w:tc>
          <w:tcPr>
            <w:tcW w:w="1804" w:type="dxa"/>
            <w:vAlign w:val="top"/>
          </w:tcPr>
          <w:p>
            <w:pPr>
              <w:pStyle w:val="4"/>
              <w:spacing w:before="152" w:line="184" w:lineRule="auto"/>
              <w:ind w:left="669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-3"/>
                <w:sz w:val="22"/>
                <w:szCs w:val="22"/>
              </w:rPr>
              <w:t>0.16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1138" w:type="dxa"/>
            <w:vAlign w:val="top"/>
          </w:tcPr>
          <w:p>
            <w:pPr>
              <w:pStyle w:val="4"/>
              <w:spacing w:before="155" w:line="183" w:lineRule="auto"/>
              <w:ind w:left="519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2</w:t>
            </w:r>
          </w:p>
        </w:tc>
        <w:tc>
          <w:tcPr>
            <w:tcW w:w="1693" w:type="dxa"/>
            <w:vAlign w:val="top"/>
          </w:tcPr>
          <w:p>
            <w:pPr>
              <w:pStyle w:val="4"/>
              <w:spacing w:before="153" w:line="184" w:lineRule="auto"/>
              <w:ind w:left="510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-4"/>
                <w:sz w:val="22"/>
                <w:szCs w:val="22"/>
              </w:rPr>
              <w:t>1.4613</w:t>
            </w:r>
          </w:p>
        </w:tc>
        <w:tc>
          <w:tcPr>
            <w:tcW w:w="1064" w:type="dxa"/>
            <w:vAlign w:val="top"/>
          </w:tcPr>
          <w:p>
            <w:pPr>
              <w:pStyle w:val="4"/>
              <w:spacing w:before="153" w:line="184" w:lineRule="auto"/>
              <w:ind w:left="197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-4"/>
                <w:sz w:val="22"/>
                <w:szCs w:val="22"/>
              </w:rPr>
              <w:t>118.11</w:t>
            </w:r>
          </w:p>
        </w:tc>
        <w:tc>
          <w:tcPr>
            <w:tcW w:w="2759" w:type="dxa"/>
            <w:vAlign w:val="top"/>
          </w:tcPr>
          <w:p>
            <w:pPr>
              <w:pStyle w:val="4"/>
              <w:spacing w:before="117" w:line="222" w:lineRule="auto"/>
              <w:ind w:left="325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-5"/>
                <w:sz w:val="22"/>
                <w:szCs w:val="22"/>
              </w:rPr>
              <w:t>1.00</w:t>
            </w:r>
            <w:r>
              <w:rPr>
                <w:rFonts w:hint="eastAsia" w:ascii="宋体" w:hAnsi="宋体" w:eastAsia="宋体" w:cs="宋体"/>
                <w:spacing w:val="51"/>
                <w:sz w:val="22"/>
                <w:szCs w:val="22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5"/>
                <w:sz w:val="22"/>
                <w:szCs w:val="22"/>
              </w:rPr>
              <w:t>(</w:t>
            </w:r>
            <w:r>
              <w:rPr>
                <w:rFonts w:hint="eastAsia" w:ascii="宋体" w:hAnsi="宋体" w:eastAsia="宋体" w:cs="宋体"/>
                <w:spacing w:val="11"/>
                <w:sz w:val="22"/>
                <w:szCs w:val="22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5"/>
                <w:sz w:val="22"/>
                <w:szCs w:val="22"/>
              </w:rPr>
              <w:t>0.22+0.78 )</w:t>
            </w:r>
          </w:p>
        </w:tc>
        <w:tc>
          <w:tcPr>
            <w:tcW w:w="1804" w:type="dxa"/>
            <w:vAlign w:val="top"/>
          </w:tcPr>
          <w:p>
            <w:pPr>
              <w:pStyle w:val="4"/>
              <w:spacing w:before="155" w:line="183" w:lineRule="auto"/>
              <w:ind w:left="669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-3"/>
                <w:sz w:val="22"/>
                <w:szCs w:val="22"/>
              </w:rPr>
              <w:t>0.00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1138" w:type="dxa"/>
            <w:vAlign w:val="top"/>
          </w:tcPr>
          <w:p>
            <w:pPr>
              <w:pStyle w:val="4"/>
              <w:spacing w:before="154" w:line="183" w:lineRule="auto"/>
              <w:ind w:left="521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3</w:t>
            </w:r>
          </w:p>
        </w:tc>
        <w:tc>
          <w:tcPr>
            <w:tcW w:w="1693" w:type="dxa"/>
            <w:vAlign w:val="top"/>
          </w:tcPr>
          <w:p>
            <w:pPr>
              <w:pStyle w:val="4"/>
              <w:spacing w:before="153" w:line="184" w:lineRule="auto"/>
              <w:ind w:left="510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-4"/>
                <w:sz w:val="22"/>
                <w:szCs w:val="22"/>
              </w:rPr>
              <w:t>1.2125</w:t>
            </w:r>
          </w:p>
        </w:tc>
        <w:tc>
          <w:tcPr>
            <w:tcW w:w="1064" w:type="dxa"/>
            <w:vAlign w:val="top"/>
          </w:tcPr>
          <w:p>
            <w:pPr>
              <w:pStyle w:val="4"/>
              <w:spacing w:before="154" w:line="183" w:lineRule="auto"/>
              <w:ind w:left="242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-2"/>
                <w:sz w:val="22"/>
                <w:szCs w:val="22"/>
              </w:rPr>
              <w:t>22.30</w:t>
            </w:r>
          </w:p>
        </w:tc>
        <w:tc>
          <w:tcPr>
            <w:tcW w:w="2759" w:type="dxa"/>
            <w:vAlign w:val="top"/>
          </w:tcPr>
          <w:p>
            <w:pPr>
              <w:pStyle w:val="4"/>
              <w:spacing w:before="117" w:line="222" w:lineRule="auto"/>
              <w:ind w:left="310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-4"/>
                <w:sz w:val="22"/>
                <w:szCs w:val="22"/>
              </w:rPr>
              <w:t>0.70</w:t>
            </w:r>
            <w:r>
              <w:rPr>
                <w:rFonts w:hint="eastAsia" w:ascii="宋体" w:hAnsi="宋体" w:eastAsia="宋体" w:cs="宋体"/>
                <w:spacing w:val="51"/>
                <w:sz w:val="22"/>
                <w:szCs w:val="22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4"/>
                <w:sz w:val="22"/>
                <w:szCs w:val="22"/>
              </w:rPr>
              <w:t>( 0.56+0.14</w:t>
            </w:r>
            <w:r>
              <w:rPr>
                <w:rFonts w:hint="eastAsia" w:ascii="宋体" w:hAnsi="宋体" w:eastAsia="宋体" w:cs="宋体"/>
                <w:spacing w:val="11"/>
                <w:sz w:val="22"/>
                <w:szCs w:val="22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4"/>
                <w:sz w:val="22"/>
                <w:szCs w:val="22"/>
              </w:rPr>
              <w:t>)</w:t>
            </w:r>
          </w:p>
        </w:tc>
        <w:tc>
          <w:tcPr>
            <w:tcW w:w="1804" w:type="dxa"/>
            <w:vAlign w:val="top"/>
          </w:tcPr>
          <w:p>
            <w:pPr>
              <w:pStyle w:val="4"/>
              <w:spacing w:before="154" w:line="183" w:lineRule="auto"/>
              <w:ind w:left="729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-3"/>
                <w:sz w:val="22"/>
                <w:szCs w:val="22"/>
              </w:rPr>
              <w:t>0.3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1138" w:type="dxa"/>
            <w:vAlign w:val="top"/>
          </w:tcPr>
          <w:p>
            <w:pPr>
              <w:pStyle w:val="4"/>
              <w:spacing w:before="155" w:line="183" w:lineRule="auto"/>
              <w:ind w:left="515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4</w:t>
            </w:r>
          </w:p>
        </w:tc>
        <w:tc>
          <w:tcPr>
            <w:tcW w:w="1693" w:type="dxa"/>
            <w:vAlign w:val="top"/>
          </w:tcPr>
          <w:p>
            <w:pPr>
              <w:pStyle w:val="4"/>
              <w:spacing w:before="154" w:line="184" w:lineRule="auto"/>
              <w:ind w:left="494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-2"/>
                <w:sz w:val="22"/>
                <w:szCs w:val="22"/>
              </w:rPr>
              <w:t>0.8716</w:t>
            </w:r>
          </w:p>
        </w:tc>
        <w:tc>
          <w:tcPr>
            <w:tcW w:w="1064" w:type="dxa"/>
            <w:vAlign w:val="top"/>
          </w:tcPr>
          <w:p>
            <w:pPr>
              <w:pStyle w:val="4"/>
              <w:spacing w:before="154" w:line="184" w:lineRule="auto"/>
              <w:ind w:left="240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-2"/>
                <w:sz w:val="22"/>
                <w:szCs w:val="22"/>
              </w:rPr>
              <w:t>84.71</w:t>
            </w:r>
          </w:p>
        </w:tc>
        <w:tc>
          <w:tcPr>
            <w:tcW w:w="2759" w:type="dxa"/>
            <w:vAlign w:val="top"/>
          </w:tcPr>
          <w:p>
            <w:pPr>
              <w:pStyle w:val="4"/>
              <w:spacing w:before="117" w:line="222" w:lineRule="auto"/>
              <w:ind w:left="310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-4"/>
                <w:sz w:val="22"/>
                <w:szCs w:val="22"/>
              </w:rPr>
              <w:t>0.82</w:t>
            </w:r>
            <w:r>
              <w:rPr>
                <w:rFonts w:hint="eastAsia" w:ascii="宋体" w:hAnsi="宋体" w:eastAsia="宋体" w:cs="宋体"/>
                <w:spacing w:val="51"/>
                <w:sz w:val="22"/>
                <w:szCs w:val="22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4"/>
                <w:sz w:val="22"/>
                <w:szCs w:val="22"/>
              </w:rPr>
              <w:t>( 0.06+0.76</w:t>
            </w:r>
            <w:r>
              <w:rPr>
                <w:rFonts w:hint="eastAsia" w:ascii="宋体" w:hAnsi="宋体" w:eastAsia="宋体" w:cs="宋体"/>
                <w:spacing w:val="11"/>
                <w:sz w:val="22"/>
                <w:szCs w:val="22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4"/>
                <w:sz w:val="22"/>
                <w:szCs w:val="22"/>
              </w:rPr>
              <w:t>)</w:t>
            </w:r>
          </w:p>
        </w:tc>
        <w:tc>
          <w:tcPr>
            <w:tcW w:w="1804" w:type="dxa"/>
            <w:vAlign w:val="top"/>
          </w:tcPr>
          <w:p>
            <w:pPr>
              <w:pStyle w:val="4"/>
              <w:spacing w:before="154" w:line="184" w:lineRule="auto"/>
              <w:ind w:left="669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-3"/>
                <w:sz w:val="22"/>
                <w:szCs w:val="22"/>
              </w:rPr>
              <w:t>0.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spacing w:val="-3"/>
                <w:sz w:val="22"/>
                <w:szCs w:val="22"/>
              </w:rPr>
              <w:t>18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1138" w:type="dxa"/>
            <w:vAlign w:val="top"/>
          </w:tcPr>
          <w:p>
            <w:pPr>
              <w:pStyle w:val="4"/>
              <w:spacing w:before="158" w:line="182" w:lineRule="auto"/>
              <w:ind w:left="521"/>
              <w:jc w:val="left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5</w:t>
            </w:r>
          </w:p>
        </w:tc>
        <w:tc>
          <w:tcPr>
            <w:tcW w:w="1693" w:type="dxa"/>
            <w:vAlign w:val="top"/>
          </w:tcPr>
          <w:p>
            <w:pPr>
              <w:pStyle w:val="4"/>
              <w:spacing w:before="157" w:line="183" w:lineRule="auto"/>
              <w:ind w:left="494"/>
              <w:jc w:val="left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-2"/>
                <w:sz w:val="22"/>
                <w:szCs w:val="22"/>
              </w:rPr>
              <w:t>0.8097</w:t>
            </w:r>
          </w:p>
        </w:tc>
        <w:tc>
          <w:tcPr>
            <w:tcW w:w="1064" w:type="dxa"/>
            <w:vAlign w:val="top"/>
          </w:tcPr>
          <w:p>
            <w:pPr>
              <w:pStyle w:val="4"/>
              <w:spacing w:before="155" w:line="184" w:lineRule="auto"/>
              <w:ind w:left="240"/>
              <w:jc w:val="left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-2"/>
                <w:sz w:val="22"/>
                <w:szCs w:val="22"/>
              </w:rPr>
              <w:t>87.61</w:t>
            </w:r>
          </w:p>
        </w:tc>
        <w:tc>
          <w:tcPr>
            <w:tcW w:w="2759" w:type="dxa"/>
            <w:vAlign w:val="top"/>
          </w:tcPr>
          <w:p>
            <w:pPr>
              <w:pStyle w:val="4"/>
              <w:spacing w:before="119" w:line="222" w:lineRule="auto"/>
              <w:ind w:left="310"/>
              <w:jc w:val="left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-4"/>
                <w:sz w:val="22"/>
                <w:szCs w:val="22"/>
              </w:rPr>
              <w:t>0.77</w:t>
            </w:r>
            <w:r>
              <w:rPr>
                <w:rFonts w:hint="eastAsia" w:ascii="宋体" w:hAnsi="宋体" w:eastAsia="宋体" w:cs="宋体"/>
                <w:spacing w:val="51"/>
                <w:sz w:val="22"/>
                <w:szCs w:val="22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4"/>
                <w:sz w:val="22"/>
                <w:szCs w:val="22"/>
              </w:rPr>
              <w:t>( 0.63+0.14</w:t>
            </w:r>
            <w:r>
              <w:rPr>
                <w:rFonts w:hint="eastAsia" w:ascii="宋体" w:hAnsi="宋体" w:eastAsia="宋体" w:cs="宋体"/>
                <w:spacing w:val="11"/>
                <w:sz w:val="22"/>
                <w:szCs w:val="22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4"/>
                <w:sz w:val="22"/>
                <w:szCs w:val="22"/>
              </w:rPr>
              <w:t>)</w:t>
            </w:r>
          </w:p>
        </w:tc>
        <w:tc>
          <w:tcPr>
            <w:tcW w:w="1804" w:type="dxa"/>
            <w:vAlign w:val="top"/>
          </w:tcPr>
          <w:p>
            <w:pPr>
              <w:pStyle w:val="4"/>
              <w:spacing w:before="157" w:line="183" w:lineRule="auto"/>
              <w:ind w:left="669"/>
              <w:jc w:val="left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-3"/>
                <w:sz w:val="22"/>
                <w:szCs w:val="22"/>
              </w:rPr>
              <w:t>0.23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7" w:hRule="atLeast"/>
        </w:trPr>
        <w:tc>
          <w:tcPr>
            <w:tcW w:w="1138" w:type="dxa"/>
            <w:vAlign w:val="top"/>
          </w:tcPr>
          <w:p>
            <w:pPr>
              <w:pStyle w:val="4"/>
              <w:spacing w:before="156" w:line="183" w:lineRule="auto"/>
              <w:ind w:left="518"/>
              <w:jc w:val="left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6</w:t>
            </w:r>
          </w:p>
        </w:tc>
        <w:tc>
          <w:tcPr>
            <w:tcW w:w="1693" w:type="dxa"/>
            <w:vAlign w:val="top"/>
          </w:tcPr>
          <w:p>
            <w:pPr>
              <w:pStyle w:val="4"/>
              <w:spacing w:before="155" w:line="184" w:lineRule="auto"/>
              <w:ind w:left="494"/>
              <w:jc w:val="left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-2"/>
                <w:sz w:val="22"/>
                <w:szCs w:val="22"/>
              </w:rPr>
              <w:t>0.7821</w:t>
            </w:r>
          </w:p>
        </w:tc>
        <w:tc>
          <w:tcPr>
            <w:tcW w:w="1064" w:type="dxa"/>
            <w:vAlign w:val="top"/>
          </w:tcPr>
          <w:p>
            <w:pPr>
              <w:pStyle w:val="4"/>
              <w:spacing w:before="156" w:line="183" w:lineRule="auto"/>
              <w:ind w:left="245"/>
              <w:jc w:val="left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-3"/>
                <w:sz w:val="22"/>
                <w:szCs w:val="22"/>
              </w:rPr>
              <w:t>77.44</w:t>
            </w:r>
          </w:p>
        </w:tc>
        <w:tc>
          <w:tcPr>
            <w:tcW w:w="2759" w:type="dxa"/>
            <w:vAlign w:val="top"/>
          </w:tcPr>
          <w:p>
            <w:pPr>
              <w:pStyle w:val="4"/>
              <w:spacing w:before="119" w:line="222" w:lineRule="auto"/>
              <w:ind w:left="310"/>
              <w:jc w:val="left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-4"/>
                <w:sz w:val="22"/>
                <w:szCs w:val="22"/>
              </w:rPr>
              <w:t>0.84</w:t>
            </w:r>
            <w:r>
              <w:rPr>
                <w:rFonts w:hint="eastAsia" w:ascii="宋体" w:hAnsi="宋体" w:eastAsia="宋体" w:cs="宋体"/>
                <w:spacing w:val="51"/>
                <w:sz w:val="22"/>
                <w:szCs w:val="22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4"/>
                <w:sz w:val="22"/>
                <w:szCs w:val="22"/>
              </w:rPr>
              <w:t>( 0.56+0.28</w:t>
            </w:r>
            <w:r>
              <w:rPr>
                <w:rFonts w:hint="eastAsia" w:ascii="宋体" w:hAnsi="宋体" w:eastAsia="宋体" w:cs="宋体"/>
                <w:spacing w:val="11"/>
                <w:sz w:val="22"/>
                <w:szCs w:val="22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4"/>
                <w:sz w:val="22"/>
                <w:szCs w:val="22"/>
              </w:rPr>
              <w:t>)</w:t>
            </w:r>
          </w:p>
        </w:tc>
        <w:tc>
          <w:tcPr>
            <w:tcW w:w="1804" w:type="dxa"/>
            <w:vAlign w:val="top"/>
          </w:tcPr>
          <w:p>
            <w:pPr>
              <w:pStyle w:val="4"/>
              <w:spacing w:before="155" w:line="184" w:lineRule="auto"/>
              <w:ind w:left="669"/>
              <w:jc w:val="left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-3"/>
                <w:sz w:val="22"/>
                <w:szCs w:val="22"/>
              </w:rPr>
              <w:t>0.16</w:t>
            </w:r>
          </w:p>
        </w:tc>
      </w:tr>
    </w:tbl>
    <w:p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color w:val="000000"/>
          <w:kern w:val="0"/>
          <w:sz w:val="22"/>
          <w:szCs w:val="22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2"/>
          <w:szCs w:val="22"/>
          <w:lang w:val="en-US" w:eastAsia="zh-CN" w:bidi="ar"/>
        </w:rPr>
        <w:t>结构扭转为主的第一自振周期 Tt(1.2125)与平动为主的第一自振周期 T1(1.6294)之比为0.74.</w:t>
      </w:r>
    </w:p>
    <w:p>
      <w:pPr>
        <w:keepNext w:val="0"/>
        <w:keepLines w:val="0"/>
        <w:widowControl/>
        <w:suppressLineNumbers w:val="0"/>
        <w:ind w:firstLine="210" w:firstLineChars="100"/>
        <w:jc w:val="left"/>
        <w:rPr>
          <w:rFonts w:hint="eastAsia" w:ascii="宋体" w:hAnsi="宋体" w:eastAsia="宋体" w:cs="宋体"/>
          <w:sz w:val="22"/>
          <w:szCs w:val="22"/>
        </w:rPr>
      </w:pPr>
      <w:r>
        <w:rPr>
          <w:rFonts w:hint="eastAsia" w:ascii="宋体" w:hAnsi="宋体" w:eastAsia="宋体" w:cs="宋体"/>
          <w:spacing w:val="-5"/>
          <w:sz w:val="22"/>
          <w:szCs w:val="22"/>
        </w:rPr>
        <w:t>（2）位移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sz w:val="22"/>
          <w:szCs w:val="22"/>
        </w:rPr>
      </w:pPr>
      <w:r>
        <w:rPr>
          <w:rFonts w:hint="eastAsia" w:ascii="宋体" w:hAnsi="宋体" w:eastAsia="宋体" w:cs="宋体"/>
          <w:spacing w:val="-2"/>
          <w:sz w:val="22"/>
          <w:szCs w:val="22"/>
        </w:rPr>
        <w:t>R1—最大位移/层平均位移（各层之最大值）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sz w:val="22"/>
          <w:szCs w:val="22"/>
        </w:rPr>
      </w:pPr>
      <w:r>
        <w:rPr>
          <w:rFonts w:hint="eastAsia" w:ascii="宋体" w:hAnsi="宋体" w:eastAsia="宋体" w:cs="宋体"/>
          <w:spacing w:val="-1"/>
          <w:sz w:val="22"/>
          <w:szCs w:val="22"/>
        </w:rPr>
        <w:t>R2—最大层间位移/平均层间位移（各层之最大值）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sz w:val="22"/>
          <w:szCs w:val="22"/>
        </w:rPr>
      </w:pPr>
      <w:r>
        <w:rPr>
          <w:rFonts w:hint="eastAsia" w:ascii="宋体" w:hAnsi="宋体" w:eastAsia="宋体" w:cs="宋体"/>
          <w:spacing w:val="-1"/>
          <w:position w:val="17"/>
          <w:sz w:val="22"/>
          <w:szCs w:val="22"/>
        </w:rPr>
        <w:t>Max—D/h—最大层间位移角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sz w:val="22"/>
          <w:szCs w:val="22"/>
        </w:rPr>
      </w:pPr>
      <w:r>
        <w:rPr>
          <w:rFonts w:hint="eastAsia" w:ascii="宋体" w:hAnsi="宋体" w:eastAsia="宋体" w:cs="宋体"/>
          <w:spacing w:val="-9"/>
          <w:sz w:val="22"/>
          <w:szCs w:val="22"/>
        </w:rPr>
        <w:t>地震作用下：</w:t>
      </w:r>
    </w:p>
    <w:p>
      <w:pPr>
        <w:spacing w:line="67" w:lineRule="exact"/>
        <w:rPr>
          <w:rFonts w:hint="eastAsia" w:ascii="宋体" w:hAnsi="宋体" w:eastAsia="宋体" w:cs="宋体"/>
          <w:sz w:val="22"/>
          <w:szCs w:val="22"/>
        </w:rPr>
      </w:pPr>
    </w:p>
    <w:tbl>
      <w:tblPr>
        <w:tblStyle w:val="5"/>
        <w:tblW w:w="8098" w:type="dxa"/>
        <w:tblInd w:w="1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952"/>
        <w:gridCol w:w="2438"/>
        <w:gridCol w:w="270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" w:hRule="atLeast"/>
        </w:trPr>
        <w:tc>
          <w:tcPr>
            <w:tcW w:w="2952" w:type="dxa"/>
            <w:tcBorders>
              <w:top w:val="single" w:color="000000" w:sz="12" w:space="0"/>
              <w:left w:val="single" w:color="000000" w:sz="12" w:space="0"/>
            </w:tcBorders>
            <w:vAlign w:val="top"/>
          </w:tcPr>
          <w:p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2438" w:type="dxa"/>
            <w:tcBorders>
              <w:top w:val="single" w:color="000000" w:sz="12" w:space="0"/>
            </w:tcBorders>
            <w:vAlign w:val="top"/>
          </w:tcPr>
          <w:p>
            <w:pPr>
              <w:pStyle w:val="4"/>
              <w:spacing w:before="114" w:line="241" w:lineRule="auto"/>
              <w:ind w:left="513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x</w:t>
            </w:r>
          </w:p>
        </w:tc>
        <w:tc>
          <w:tcPr>
            <w:tcW w:w="2708" w:type="dxa"/>
            <w:tcBorders>
              <w:top w:val="single" w:color="000000" w:sz="12" w:space="0"/>
              <w:right w:val="single" w:color="000000" w:sz="12" w:space="0"/>
            </w:tcBorders>
            <w:vAlign w:val="top"/>
          </w:tcPr>
          <w:p>
            <w:pPr>
              <w:pStyle w:val="4"/>
              <w:spacing w:before="210" w:line="179" w:lineRule="exact"/>
              <w:ind w:left="579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position w:val="1"/>
                <w:sz w:val="22"/>
                <w:szCs w:val="22"/>
              </w:rPr>
              <w:t>y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" w:hRule="atLeast"/>
        </w:trPr>
        <w:tc>
          <w:tcPr>
            <w:tcW w:w="2952" w:type="dxa"/>
            <w:tcBorders>
              <w:left w:val="single" w:color="000000" w:sz="12" w:space="0"/>
            </w:tcBorders>
            <w:vAlign w:val="top"/>
          </w:tcPr>
          <w:p>
            <w:pPr>
              <w:pStyle w:val="4"/>
              <w:spacing w:before="154" w:line="184" w:lineRule="auto"/>
              <w:ind w:left="559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-2"/>
                <w:sz w:val="22"/>
                <w:szCs w:val="22"/>
              </w:rPr>
              <w:t>R1</w:t>
            </w:r>
          </w:p>
        </w:tc>
        <w:tc>
          <w:tcPr>
            <w:tcW w:w="2438" w:type="dxa"/>
            <w:vAlign w:val="top"/>
          </w:tcPr>
          <w:p>
            <w:pPr>
              <w:pStyle w:val="4"/>
              <w:spacing w:before="154" w:line="184" w:lineRule="auto"/>
              <w:ind w:left="352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-6"/>
                <w:sz w:val="22"/>
                <w:szCs w:val="22"/>
              </w:rPr>
              <w:t>1.15</w:t>
            </w:r>
          </w:p>
        </w:tc>
        <w:tc>
          <w:tcPr>
            <w:tcW w:w="2708" w:type="dxa"/>
            <w:tcBorders>
              <w:right w:val="single" w:color="000000" w:sz="12" w:space="0"/>
            </w:tcBorders>
            <w:vAlign w:val="top"/>
          </w:tcPr>
          <w:p>
            <w:pPr>
              <w:pStyle w:val="4"/>
              <w:spacing w:before="154" w:line="184" w:lineRule="auto"/>
              <w:ind w:left="416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-6"/>
                <w:sz w:val="22"/>
                <w:szCs w:val="22"/>
              </w:rPr>
              <w:t>1.16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2952" w:type="dxa"/>
            <w:tcBorders>
              <w:left w:val="single" w:color="000000" w:sz="12" w:space="0"/>
            </w:tcBorders>
            <w:vAlign w:val="top"/>
          </w:tcPr>
          <w:p>
            <w:pPr>
              <w:pStyle w:val="4"/>
              <w:spacing w:before="159" w:line="183" w:lineRule="auto"/>
              <w:ind w:left="559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-2"/>
                <w:sz w:val="22"/>
                <w:szCs w:val="22"/>
              </w:rPr>
              <w:t>R2</w:t>
            </w:r>
          </w:p>
        </w:tc>
        <w:tc>
          <w:tcPr>
            <w:tcW w:w="2438" w:type="dxa"/>
            <w:vAlign w:val="top"/>
          </w:tcPr>
          <w:p>
            <w:pPr>
              <w:pStyle w:val="4"/>
              <w:spacing w:before="157" w:line="184" w:lineRule="auto"/>
              <w:ind w:left="352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-6"/>
                <w:sz w:val="22"/>
                <w:szCs w:val="22"/>
              </w:rPr>
              <w:t>1.32</w:t>
            </w:r>
          </w:p>
        </w:tc>
        <w:tc>
          <w:tcPr>
            <w:tcW w:w="2708" w:type="dxa"/>
            <w:tcBorders>
              <w:right w:val="single" w:color="000000" w:sz="12" w:space="0"/>
            </w:tcBorders>
            <w:vAlign w:val="top"/>
          </w:tcPr>
          <w:p>
            <w:pPr>
              <w:pStyle w:val="4"/>
              <w:spacing w:before="157" w:line="184" w:lineRule="auto"/>
              <w:ind w:left="416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-6"/>
                <w:sz w:val="22"/>
                <w:szCs w:val="22"/>
              </w:rPr>
              <w:t>1.36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3" w:hRule="atLeast"/>
        </w:trPr>
        <w:tc>
          <w:tcPr>
            <w:tcW w:w="2952" w:type="dxa"/>
            <w:tcBorders>
              <w:left w:val="single" w:color="000000" w:sz="12" w:space="0"/>
              <w:bottom w:val="single" w:color="000000" w:sz="12" w:space="0"/>
            </w:tcBorders>
            <w:vAlign w:val="top"/>
          </w:tcPr>
          <w:p>
            <w:pPr>
              <w:pStyle w:val="4"/>
              <w:spacing w:before="220" w:line="396" w:lineRule="auto"/>
              <w:ind w:left="145" w:right="107" w:firstLine="48"/>
              <w:jc w:val="left"/>
              <w:rPr>
                <w:rFonts w:hint="eastAsia" w:ascii="宋体" w:hAnsi="宋体" w:eastAsia="宋体" w:cs="宋体"/>
                <w:spacing w:val="-1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-1"/>
                <w:sz w:val="22"/>
                <w:szCs w:val="22"/>
              </w:rPr>
              <w:t>Max—D/h ( 所在层号)</w:t>
            </w:r>
          </w:p>
        </w:tc>
        <w:tc>
          <w:tcPr>
            <w:tcW w:w="2438" w:type="dxa"/>
            <w:tcBorders>
              <w:bottom w:val="single" w:color="000000" w:sz="12" w:space="0"/>
            </w:tcBorders>
            <w:vAlign w:val="top"/>
          </w:tcPr>
          <w:p>
            <w:pPr>
              <w:pStyle w:val="4"/>
              <w:spacing w:before="220" w:line="396" w:lineRule="auto"/>
              <w:ind w:left="145" w:right="107" w:firstLine="48"/>
              <w:jc w:val="left"/>
              <w:rPr>
                <w:rFonts w:hint="eastAsia" w:ascii="宋体" w:hAnsi="宋体" w:eastAsia="宋体" w:cs="宋体"/>
                <w:spacing w:val="-1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-1"/>
                <w:sz w:val="22"/>
                <w:szCs w:val="22"/>
              </w:rPr>
              <w:t>1/</w:t>
            </w:r>
            <w:r>
              <w:rPr>
                <w:rFonts w:hint="eastAsia" w:ascii="宋体" w:hAnsi="宋体" w:eastAsia="宋体" w:cs="宋体"/>
                <w:spacing w:val="-1"/>
                <w:sz w:val="22"/>
                <w:szCs w:val="22"/>
              </w:rPr>
              <w:t>665(2)</w:t>
            </w:r>
          </w:p>
        </w:tc>
        <w:tc>
          <w:tcPr>
            <w:tcW w:w="2708" w:type="dxa"/>
            <w:tcBorders>
              <w:bottom w:val="single" w:color="000000" w:sz="12" w:space="0"/>
              <w:right w:val="single" w:color="000000" w:sz="12" w:space="0"/>
            </w:tcBorders>
            <w:vAlign w:val="top"/>
          </w:tcPr>
          <w:p>
            <w:pPr>
              <w:pStyle w:val="4"/>
              <w:spacing w:before="220" w:line="396" w:lineRule="auto"/>
              <w:ind w:left="145" w:right="107" w:firstLine="48"/>
              <w:jc w:val="left"/>
              <w:rPr>
                <w:rFonts w:hint="eastAsia" w:ascii="宋体" w:hAnsi="宋体" w:eastAsia="宋体" w:cs="宋体"/>
                <w:spacing w:val="-1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-1"/>
                <w:sz w:val="22"/>
                <w:szCs w:val="22"/>
              </w:rPr>
              <w:t>1/718(2)</w:t>
            </w:r>
          </w:p>
        </w:tc>
      </w:tr>
    </w:tbl>
    <w:p>
      <w:pPr>
        <w:rPr>
          <w:rFonts w:hint="eastAsia" w:ascii="宋体" w:hAnsi="宋体" w:eastAsia="宋体" w:cs="宋体"/>
          <w:sz w:val="22"/>
          <w:szCs w:val="22"/>
        </w:rPr>
      </w:pPr>
    </w:p>
    <w:p>
      <w:pPr>
        <w:rPr>
          <w:rFonts w:hint="eastAsia" w:ascii="宋体" w:hAnsi="宋体" w:eastAsia="宋体" w:cs="宋体"/>
          <w:sz w:val="22"/>
          <w:szCs w:val="22"/>
        </w:rPr>
      </w:pPr>
    </w:p>
    <w:p>
      <w:pPr>
        <w:spacing w:before="79" w:line="220" w:lineRule="auto"/>
        <w:rPr>
          <w:rFonts w:hint="eastAsia" w:ascii="宋体" w:hAnsi="宋体" w:eastAsia="宋体" w:cs="宋体"/>
          <w:sz w:val="22"/>
          <w:szCs w:val="22"/>
        </w:rPr>
      </w:pPr>
      <w:r>
        <w:rPr>
          <w:rFonts w:hint="eastAsia" w:ascii="宋体" w:hAnsi="宋体" w:eastAsia="宋体" w:cs="宋体"/>
          <w:spacing w:val="-9"/>
          <w:sz w:val="22"/>
          <w:szCs w:val="22"/>
        </w:rPr>
        <w:t>风荷载作用下：</w:t>
      </w:r>
    </w:p>
    <w:tbl>
      <w:tblPr>
        <w:tblStyle w:val="5"/>
        <w:tblpPr w:leftFromText="180" w:rightFromText="180" w:vertAnchor="text" w:horzAnchor="page" w:tblpX="1333" w:tblpY="175"/>
        <w:tblOverlap w:val="never"/>
        <w:tblW w:w="85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12" w:space="0"/>
          <w:insideV w:val="single" w:color="000000" w:sz="1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12"/>
        <w:gridCol w:w="3176"/>
        <w:gridCol w:w="303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2312" w:type="dxa"/>
            <w:vAlign w:val="top"/>
          </w:tcPr>
          <w:p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3176" w:type="dxa"/>
            <w:vAlign w:val="top"/>
          </w:tcPr>
          <w:p>
            <w:pPr>
              <w:pStyle w:val="4"/>
              <w:spacing w:before="208" w:line="241" w:lineRule="auto"/>
              <w:ind w:left="1520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x</w:t>
            </w:r>
          </w:p>
        </w:tc>
        <w:tc>
          <w:tcPr>
            <w:tcW w:w="3034" w:type="dxa"/>
            <w:vAlign w:val="top"/>
          </w:tcPr>
          <w:p>
            <w:pPr>
              <w:pStyle w:val="4"/>
              <w:spacing w:before="303" w:line="180" w:lineRule="exact"/>
              <w:ind w:left="1454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position w:val="1"/>
                <w:sz w:val="22"/>
                <w:szCs w:val="22"/>
              </w:rPr>
              <w:t>y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2312" w:type="dxa"/>
            <w:vAlign w:val="top"/>
          </w:tcPr>
          <w:p>
            <w:pPr>
              <w:pStyle w:val="4"/>
              <w:spacing w:before="147" w:line="184" w:lineRule="auto"/>
              <w:ind w:left="1025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-2"/>
                <w:sz w:val="22"/>
                <w:szCs w:val="22"/>
              </w:rPr>
              <w:t>R1</w:t>
            </w:r>
          </w:p>
        </w:tc>
        <w:tc>
          <w:tcPr>
            <w:tcW w:w="3176" w:type="dxa"/>
            <w:vAlign w:val="top"/>
          </w:tcPr>
          <w:p>
            <w:pPr>
              <w:pStyle w:val="4"/>
              <w:spacing w:before="147" w:line="184" w:lineRule="auto"/>
              <w:ind w:left="1359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-6"/>
                <w:sz w:val="22"/>
                <w:szCs w:val="22"/>
              </w:rPr>
              <w:t>1.18</w:t>
            </w:r>
          </w:p>
        </w:tc>
        <w:tc>
          <w:tcPr>
            <w:tcW w:w="3034" w:type="dxa"/>
            <w:vAlign w:val="top"/>
          </w:tcPr>
          <w:p>
            <w:pPr>
              <w:pStyle w:val="4"/>
              <w:spacing w:before="147" w:line="184" w:lineRule="auto"/>
              <w:ind w:left="1291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-6"/>
                <w:sz w:val="22"/>
                <w:szCs w:val="22"/>
              </w:rPr>
              <w:t>1.15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2312" w:type="dxa"/>
            <w:vAlign w:val="top"/>
          </w:tcPr>
          <w:p>
            <w:pPr>
              <w:pStyle w:val="4"/>
              <w:spacing w:before="158" w:line="183" w:lineRule="auto"/>
              <w:ind w:left="1025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-2"/>
                <w:sz w:val="22"/>
                <w:szCs w:val="22"/>
              </w:rPr>
              <w:t>R2</w:t>
            </w:r>
          </w:p>
        </w:tc>
        <w:tc>
          <w:tcPr>
            <w:tcW w:w="3176" w:type="dxa"/>
            <w:vAlign w:val="top"/>
          </w:tcPr>
          <w:p>
            <w:pPr>
              <w:pStyle w:val="4"/>
              <w:spacing w:before="157" w:line="184" w:lineRule="auto"/>
              <w:ind w:left="1359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-6"/>
                <w:sz w:val="22"/>
                <w:szCs w:val="22"/>
              </w:rPr>
              <w:t>1.21</w:t>
            </w:r>
          </w:p>
        </w:tc>
        <w:tc>
          <w:tcPr>
            <w:tcW w:w="3034" w:type="dxa"/>
            <w:vAlign w:val="top"/>
          </w:tcPr>
          <w:p>
            <w:pPr>
              <w:pStyle w:val="4"/>
              <w:spacing w:before="157" w:line="184" w:lineRule="auto"/>
              <w:ind w:left="1291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-6"/>
                <w:sz w:val="22"/>
                <w:szCs w:val="22"/>
              </w:rPr>
              <w:t>1.20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2312" w:type="dxa"/>
            <w:vAlign w:val="top"/>
          </w:tcPr>
          <w:p>
            <w:pPr>
              <w:pStyle w:val="4"/>
              <w:spacing w:before="207" w:line="561" w:lineRule="exact"/>
              <w:ind w:left="659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-1"/>
                <w:position w:val="24"/>
                <w:sz w:val="22"/>
                <w:szCs w:val="22"/>
              </w:rPr>
              <w:t>Max—D/h</w:t>
            </w:r>
          </w:p>
          <w:p>
            <w:pPr>
              <w:pStyle w:val="4"/>
              <w:spacing w:line="219" w:lineRule="auto"/>
              <w:ind w:left="589" w:leftChars="0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pacing w:val="-8"/>
                <w:sz w:val="22"/>
                <w:szCs w:val="22"/>
              </w:rPr>
              <w:t>(所在层号)</w:t>
            </w:r>
          </w:p>
        </w:tc>
        <w:tc>
          <w:tcPr>
            <w:tcW w:w="3176" w:type="dxa"/>
            <w:vAlign w:val="top"/>
          </w:tcPr>
          <w:p>
            <w:pPr>
              <w:pStyle w:val="4"/>
              <w:spacing w:before="114" w:line="222" w:lineRule="auto"/>
              <w:ind w:left="1059" w:leftChars="0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pacing w:val="-3"/>
                <w:sz w:val="22"/>
                <w:szCs w:val="22"/>
              </w:rPr>
              <w:t>1/1494(5)</w:t>
            </w:r>
          </w:p>
        </w:tc>
        <w:tc>
          <w:tcPr>
            <w:tcW w:w="3034" w:type="dxa"/>
            <w:vAlign w:val="top"/>
          </w:tcPr>
          <w:p>
            <w:pPr>
              <w:pStyle w:val="4"/>
              <w:spacing w:before="114" w:line="222" w:lineRule="auto"/>
              <w:ind w:left="991" w:leftChars="0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pacing w:val="-3"/>
                <w:sz w:val="22"/>
                <w:szCs w:val="22"/>
              </w:rPr>
              <w:t>1/1680(5)</w:t>
            </w:r>
          </w:p>
        </w:tc>
      </w:tr>
    </w:tbl>
    <w:p>
      <w:pPr>
        <w:spacing w:before="171" w:line="226" w:lineRule="auto"/>
        <w:ind w:left="139"/>
        <w:rPr>
          <w:rFonts w:hint="eastAsia" w:ascii="宋体" w:hAnsi="宋体" w:eastAsia="宋体" w:cs="宋体"/>
          <w:spacing w:val="-9"/>
          <w:sz w:val="22"/>
          <w:szCs w:val="22"/>
        </w:rPr>
      </w:pPr>
    </w:p>
    <w:p>
      <w:pPr>
        <w:spacing w:before="171" w:line="226" w:lineRule="auto"/>
        <w:ind w:left="139"/>
        <w:rPr>
          <w:rFonts w:hint="eastAsia" w:ascii="宋体" w:hAnsi="宋体" w:eastAsia="宋体" w:cs="宋体"/>
          <w:sz w:val="22"/>
          <w:szCs w:val="22"/>
        </w:rPr>
      </w:pPr>
      <w:r>
        <w:rPr>
          <w:rFonts w:hint="eastAsia" w:ascii="宋体" w:hAnsi="宋体" w:eastAsia="宋体" w:cs="宋体"/>
          <w:spacing w:val="-9"/>
          <w:sz w:val="22"/>
          <w:szCs w:val="22"/>
        </w:rPr>
        <w:t>（</w:t>
      </w:r>
      <w:r>
        <w:rPr>
          <w:rFonts w:hint="eastAsia" w:ascii="宋体" w:hAnsi="宋体" w:eastAsia="宋体" w:cs="宋体"/>
          <w:spacing w:val="-9"/>
          <w:sz w:val="22"/>
          <w:szCs w:val="22"/>
          <w:lang w:val="en-US" w:eastAsia="zh-CN"/>
        </w:rPr>
        <w:t>3</w:t>
      </w:r>
      <w:r>
        <w:rPr>
          <w:rFonts w:hint="eastAsia" w:ascii="宋体" w:hAnsi="宋体" w:eastAsia="宋体" w:cs="宋体"/>
          <w:spacing w:val="-9"/>
          <w:sz w:val="22"/>
          <w:szCs w:val="22"/>
        </w:rPr>
        <w:t>）</w:t>
      </w:r>
      <w:r>
        <w:rPr>
          <w:rFonts w:hint="eastAsia" w:ascii="宋体" w:hAnsi="宋体" w:eastAsia="宋体" w:cs="宋体"/>
          <w:spacing w:val="-34"/>
          <w:sz w:val="22"/>
          <w:szCs w:val="22"/>
        </w:rPr>
        <w:t xml:space="preserve"> </w:t>
      </w:r>
      <w:r>
        <w:rPr>
          <w:rFonts w:hint="eastAsia" w:ascii="宋体" w:hAnsi="宋体" w:eastAsia="宋体" w:cs="宋体"/>
          <w:spacing w:val="-9"/>
          <w:sz w:val="22"/>
          <w:szCs w:val="22"/>
        </w:rPr>
        <w:t>基底剪力</w:t>
      </w:r>
    </w:p>
    <w:p>
      <w:pPr>
        <w:spacing w:line="121" w:lineRule="exact"/>
        <w:rPr>
          <w:rFonts w:hint="eastAsia" w:ascii="宋体" w:hAnsi="宋体" w:eastAsia="宋体" w:cs="宋体"/>
          <w:sz w:val="22"/>
          <w:szCs w:val="22"/>
        </w:rPr>
      </w:pPr>
    </w:p>
    <w:tbl>
      <w:tblPr>
        <w:tblStyle w:val="5"/>
        <w:tblW w:w="8568" w:type="dxa"/>
        <w:tblInd w:w="1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814"/>
        <w:gridCol w:w="2870"/>
        <w:gridCol w:w="288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2814" w:type="dxa"/>
            <w:tcBorders>
              <w:top w:val="single" w:color="000000" w:sz="12" w:space="0"/>
              <w:left w:val="single" w:color="000000" w:sz="12" w:space="0"/>
            </w:tcBorders>
            <w:vAlign w:val="top"/>
          </w:tcPr>
          <w:p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2870" w:type="dxa"/>
            <w:tcBorders>
              <w:top w:val="single" w:color="000000" w:sz="12" w:space="0"/>
            </w:tcBorders>
            <w:vAlign w:val="top"/>
          </w:tcPr>
          <w:p>
            <w:pPr>
              <w:pStyle w:val="4"/>
              <w:spacing w:before="240" w:line="220" w:lineRule="auto"/>
              <w:ind w:left="1079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-3"/>
                <w:sz w:val="22"/>
                <w:szCs w:val="22"/>
              </w:rPr>
              <w:t>剪重比</w:t>
            </w:r>
          </w:p>
        </w:tc>
        <w:tc>
          <w:tcPr>
            <w:tcW w:w="2884" w:type="dxa"/>
            <w:tcBorders>
              <w:top w:val="single" w:color="000000" w:sz="12" w:space="0"/>
              <w:right w:val="single" w:color="000000" w:sz="12" w:space="0"/>
            </w:tcBorders>
            <w:vAlign w:val="top"/>
          </w:tcPr>
          <w:p>
            <w:pPr>
              <w:pStyle w:val="4"/>
              <w:spacing w:before="240" w:line="220" w:lineRule="auto"/>
              <w:ind w:left="729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-2"/>
                <w:sz w:val="22"/>
                <w:szCs w:val="22"/>
              </w:rPr>
              <w:t>有效质量系数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2814" w:type="dxa"/>
            <w:tcBorders>
              <w:left w:val="single" w:color="000000" w:sz="12" w:space="0"/>
            </w:tcBorders>
            <w:vAlign w:val="top"/>
          </w:tcPr>
          <w:p>
            <w:pPr>
              <w:pStyle w:val="4"/>
              <w:spacing w:before="250" w:line="221" w:lineRule="auto"/>
              <w:ind w:left="1186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-4"/>
                <w:sz w:val="22"/>
                <w:szCs w:val="22"/>
              </w:rPr>
              <w:t>X</w:t>
            </w:r>
            <w:r>
              <w:rPr>
                <w:rFonts w:hint="eastAsia" w:ascii="宋体" w:hAnsi="宋体" w:eastAsia="宋体" w:cs="宋体"/>
                <w:spacing w:val="-26"/>
                <w:sz w:val="22"/>
                <w:szCs w:val="22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4"/>
                <w:sz w:val="22"/>
                <w:szCs w:val="22"/>
              </w:rPr>
              <w:t>向</w:t>
            </w:r>
          </w:p>
        </w:tc>
        <w:tc>
          <w:tcPr>
            <w:tcW w:w="2870" w:type="dxa"/>
            <w:vAlign w:val="top"/>
          </w:tcPr>
          <w:p>
            <w:pPr>
              <w:pStyle w:val="4"/>
              <w:spacing w:before="288" w:line="183" w:lineRule="auto"/>
              <w:ind w:left="1201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-4"/>
                <w:sz w:val="22"/>
                <w:szCs w:val="22"/>
              </w:rPr>
              <w:t>2.6%</w:t>
            </w:r>
          </w:p>
        </w:tc>
        <w:tc>
          <w:tcPr>
            <w:tcW w:w="2884" w:type="dxa"/>
            <w:tcBorders>
              <w:right w:val="single" w:color="000000" w:sz="12" w:space="0"/>
            </w:tcBorders>
            <w:vAlign w:val="top"/>
          </w:tcPr>
          <w:p>
            <w:pPr>
              <w:pStyle w:val="4"/>
              <w:spacing w:before="288" w:line="183" w:lineRule="auto"/>
              <w:ind w:left="1089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-2"/>
                <w:sz w:val="22"/>
                <w:szCs w:val="22"/>
              </w:rPr>
              <w:t>90.09%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8" w:hRule="atLeast"/>
        </w:trPr>
        <w:tc>
          <w:tcPr>
            <w:tcW w:w="2814" w:type="dxa"/>
            <w:tcBorders>
              <w:left w:val="single" w:color="000000" w:sz="12" w:space="0"/>
              <w:bottom w:val="single" w:color="000000" w:sz="12" w:space="0"/>
            </w:tcBorders>
            <w:vAlign w:val="top"/>
          </w:tcPr>
          <w:p>
            <w:pPr>
              <w:pStyle w:val="4"/>
              <w:spacing w:before="259" w:line="221" w:lineRule="auto"/>
              <w:ind w:left="1185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-3"/>
                <w:sz w:val="22"/>
                <w:szCs w:val="22"/>
              </w:rPr>
              <w:t>Y</w:t>
            </w:r>
            <w:r>
              <w:rPr>
                <w:rFonts w:hint="eastAsia" w:ascii="宋体" w:hAnsi="宋体" w:eastAsia="宋体" w:cs="宋体"/>
                <w:spacing w:val="-27"/>
                <w:sz w:val="22"/>
                <w:szCs w:val="22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3"/>
                <w:sz w:val="22"/>
                <w:szCs w:val="22"/>
              </w:rPr>
              <w:t>向</w:t>
            </w:r>
          </w:p>
        </w:tc>
        <w:tc>
          <w:tcPr>
            <w:tcW w:w="2870" w:type="dxa"/>
            <w:tcBorders>
              <w:bottom w:val="single" w:color="000000" w:sz="12" w:space="0"/>
            </w:tcBorders>
            <w:vAlign w:val="top"/>
          </w:tcPr>
          <w:p>
            <w:pPr>
              <w:pStyle w:val="4"/>
              <w:spacing w:before="298" w:line="183" w:lineRule="auto"/>
              <w:ind w:left="1203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-4"/>
                <w:sz w:val="22"/>
                <w:szCs w:val="22"/>
              </w:rPr>
              <w:t>3.2%</w:t>
            </w:r>
          </w:p>
        </w:tc>
        <w:tc>
          <w:tcPr>
            <w:tcW w:w="2884" w:type="dxa"/>
            <w:tcBorders>
              <w:bottom w:val="single" w:color="000000" w:sz="12" w:space="0"/>
              <w:right w:val="single" w:color="000000" w:sz="12" w:space="0"/>
            </w:tcBorders>
            <w:vAlign w:val="top"/>
          </w:tcPr>
          <w:p>
            <w:pPr>
              <w:pStyle w:val="4"/>
              <w:spacing w:before="296" w:line="184" w:lineRule="auto"/>
              <w:ind w:left="1089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-2"/>
                <w:sz w:val="22"/>
                <w:szCs w:val="22"/>
              </w:rPr>
              <w:t>91.14%</w:t>
            </w:r>
          </w:p>
        </w:tc>
      </w:tr>
    </w:tbl>
    <w:p>
      <w:pPr>
        <w:spacing w:before="113" w:line="220" w:lineRule="auto"/>
        <w:ind w:left="132"/>
        <w:rPr>
          <w:rFonts w:hint="eastAsia" w:ascii="宋体" w:hAnsi="宋体" w:eastAsia="宋体" w:cs="宋体"/>
          <w:sz w:val="22"/>
          <w:szCs w:val="22"/>
        </w:rPr>
      </w:pPr>
      <w:r>
        <w:rPr>
          <w:rFonts w:hint="eastAsia" w:ascii="宋体" w:hAnsi="宋体" w:eastAsia="宋体" w:cs="宋体"/>
          <w:spacing w:val="-4"/>
          <w:sz w:val="22"/>
          <w:szCs w:val="22"/>
        </w:rPr>
        <w:t>满足规范对变形和结构刚度比相关规定；</w:t>
      </w:r>
    </w:p>
    <w:p>
      <w:pPr>
        <w:spacing w:line="245" w:lineRule="auto"/>
        <w:rPr>
          <w:rFonts w:hint="eastAsia" w:ascii="宋体" w:hAnsi="宋体" w:eastAsia="宋体" w:cs="宋体"/>
          <w:sz w:val="22"/>
          <w:szCs w:val="22"/>
        </w:rPr>
      </w:pPr>
    </w:p>
    <w:p>
      <w:pPr>
        <w:spacing w:line="245" w:lineRule="auto"/>
        <w:rPr>
          <w:rFonts w:hint="eastAsia" w:ascii="宋体" w:hAnsi="宋体" w:eastAsia="宋体" w:cs="宋体"/>
          <w:sz w:val="22"/>
          <w:szCs w:val="22"/>
        </w:rPr>
      </w:pPr>
    </w:p>
    <w:p>
      <w:pPr>
        <w:spacing w:before="78" w:line="467" w:lineRule="exact"/>
        <w:ind w:left="132" w:firstLine="404" w:firstLineChars="200"/>
        <w:jc w:val="left"/>
        <w:rPr>
          <w:rFonts w:hint="eastAsia" w:ascii="宋体" w:hAnsi="宋体" w:eastAsia="宋体" w:cs="宋体"/>
          <w:spacing w:val="-9"/>
          <w:position w:val="17"/>
          <w:sz w:val="22"/>
          <w:szCs w:val="22"/>
        </w:rPr>
      </w:pPr>
      <w:r>
        <w:rPr>
          <w:rFonts w:hint="eastAsia" w:ascii="宋体" w:hAnsi="宋体" w:eastAsia="宋体" w:cs="宋体"/>
          <w:spacing w:val="-9"/>
          <w:position w:val="17"/>
          <w:sz w:val="22"/>
          <w:szCs w:val="22"/>
        </w:rPr>
        <w:t>计算结果表明本工程结构体系具有足够的强</w:t>
      </w:r>
      <w:r>
        <w:rPr>
          <w:rFonts w:hint="eastAsia" w:ascii="宋体" w:hAnsi="宋体" w:eastAsia="宋体" w:cs="宋体"/>
          <w:spacing w:val="-10"/>
          <w:position w:val="17"/>
          <w:sz w:val="22"/>
          <w:szCs w:val="22"/>
        </w:rPr>
        <w:t>度和刚度，</w:t>
      </w:r>
      <w:r>
        <w:rPr>
          <w:rFonts w:hint="eastAsia" w:ascii="宋体" w:hAnsi="宋体" w:eastAsia="宋体" w:cs="宋体"/>
          <w:spacing w:val="42"/>
          <w:position w:val="17"/>
          <w:sz w:val="22"/>
          <w:szCs w:val="22"/>
        </w:rPr>
        <w:t xml:space="preserve"> </w:t>
      </w:r>
      <w:r>
        <w:rPr>
          <w:rFonts w:hint="eastAsia" w:ascii="宋体" w:hAnsi="宋体" w:eastAsia="宋体" w:cs="宋体"/>
          <w:spacing w:val="-10"/>
          <w:position w:val="17"/>
          <w:sz w:val="22"/>
          <w:szCs w:val="22"/>
        </w:rPr>
        <w:t>既能满足竖向承载要求，</w:t>
      </w:r>
      <w:r>
        <w:rPr>
          <w:rFonts w:hint="eastAsia" w:ascii="宋体" w:hAnsi="宋体" w:eastAsia="宋体" w:cs="宋体"/>
          <w:spacing w:val="30"/>
          <w:position w:val="17"/>
          <w:sz w:val="22"/>
          <w:szCs w:val="22"/>
        </w:rPr>
        <w:t xml:space="preserve"> </w:t>
      </w:r>
      <w:r>
        <w:rPr>
          <w:rFonts w:hint="eastAsia" w:ascii="宋体" w:hAnsi="宋体" w:eastAsia="宋体" w:cs="宋体"/>
          <w:spacing w:val="-10"/>
          <w:position w:val="17"/>
          <w:sz w:val="22"/>
          <w:szCs w:val="22"/>
        </w:rPr>
        <w:t>又</w:t>
      </w:r>
      <w:r>
        <w:rPr>
          <w:rFonts w:hint="eastAsia" w:ascii="宋体" w:hAnsi="宋体" w:eastAsia="宋体" w:cs="宋体"/>
          <w:spacing w:val="-9"/>
          <w:position w:val="17"/>
          <w:sz w:val="22"/>
          <w:szCs w:val="22"/>
        </w:rPr>
        <w:t>能满足</w:t>
      </w:r>
      <w:r>
        <w:rPr>
          <w:rFonts w:hint="eastAsia" w:ascii="宋体" w:hAnsi="宋体" w:eastAsia="宋体" w:cs="宋体"/>
          <w:spacing w:val="-9"/>
          <w:position w:val="17"/>
          <w:sz w:val="22"/>
          <w:szCs w:val="22"/>
        </w:rPr>
        <w:t>水平承载（风荷载和地震作用）要求，从而保证了结构的安全使用性能。</w:t>
      </w:r>
    </w:p>
    <w:p>
      <w:pPr>
        <w:spacing w:before="78" w:line="467" w:lineRule="exact"/>
        <w:ind w:left="132"/>
        <w:jc w:val="left"/>
        <w:rPr>
          <w:rFonts w:hint="eastAsia" w:ascii="宋体" w:hAnsi="宋体" w:eastAsia="宋体" w:cs="宋体"/>
          <w:spacing w:val="-9"/>
          <w:position w:val="17"/>
          <w:sz w:val="22"/>
          <w:szCs w:val="2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IwNTA1NzBiMmM0ZWFiMTM3OGNiYjQzYjU4OWEzY2EifQ=="/>
  </w:docVars>
  <w:rsids>
    <w:rsidRoot w:val="064016FC"/>
    <w:rsid w:val="064016FC"/>
    <w:rsid w:val="0969226A"/>
    <w:rsid w:val="0A075D0B"/>
    <w:rsid w:val="0DE14AC5"/>
    <w:rsid w:val="1C311C4C"/>
    <w:rsid w:val="1DDE4B7D"/>
    <w:rsid w:val="20345C1E"/>
    <w:rsid w:val="2A500BB0"/>
    <w:rsid w:val="2D216834"/>
    <w:rsid w:val="40BA4B7E"/>
    <w:rsid w:val="5AF727FF"/>
    <w:rsid w:val="6F856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Table Text"/>
    <w:basedOn w:val="1"/>
    <w:autoRedefine/>
    <w:semiHidden/>
    <w:qFormat/>
    <w:uiPriority w:val="0"/>
    <w:rPr>
      <w:rFonts w:ascii="宋体" w:hAnsi="宋体" w:eastAsia="宋体" w:cs="宋体"/>
      <w:sz w:val="32"/>
      <w:szCs w:val="32"/>
      <w:lang w:val="en-US" w:eastAsia="en-US" w:bidi="ar-SA"/>
    </w:rPr>
  </w:style>
  <w:style w:type="table" w:customStyle="1" w:styleId="5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2024-02-15T15:24:00Z</dcterms:created>
  <dc:creator>吧胰仁压灾</dc:creator>
  <cp:lastModifiedBy>吧胰仁压灾</cp:lastModifiedBy>
  <dcterms:modified xsi:type="dcterms:W3CDTF">2024-02-15T15:32:44Z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83FCDA3AA2B74561A6F1B9A5BA97B0BC_11</vt:lpwstr>
  </property>
</Properties>
</file>