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cstheme="majorEastAsia"/>
          <w:sz w:val="36"/>
        </w:rPr>
      </w:pPr>
      <w:r>
        <w:rPr>
          <w:rFonts w:hint="eastAsia" w:ascii="Times New Roman" w:hAnsi="Times New Roman" w:eastAsia="宋体" w:cstheme="majorEastAsia"/>
          <w:sz w:val="36"/>
          <w:lang w:val="en-US" w:eastAsia="zh-CN"/>
        </w:rPr>
        <w:t>罗湖未来学校</w:t>
      </w:r>
      <w:r>
        <w:rPr>
          <w:rFonts w:hint="eastAsia" w:ascii="Times New Roman" w:hAnsi="Times New Roman" w:eastAsia="宋体" w:cstheme="majorEastAsia"/>
          <w:sz w:val="36"/>
        </w:rPr>
        <w:t>项目</w:t>
      </w:r>
    </w:p>
    <w:p>
      <w:pPr>
        <w:pStyle w:val="5"/>
        <w:ind w:firstLine="400"/>
        <w:rPr>
          <w:rFonts w:ascii="Times New Roman" w:hAnsi="Times New Roman"/>
          <w:sz w:val="20"/>
        </w:rPr>
      </w:pPr>
    </w:p>
    <w:p>
      <w:pPr>
        <w:ind w:right="790"/>
        <w:rPr>
          <w:rFonts w:ascii="Times New Roman" w:hAnsi="Times New Roman" w:eastAsia="宋体"/>
          <w:b/>
          <w:bCs/>
          <w:sz w:val="48"/>
        </w:rPr>
      </w:pPr>
    </w:p>
    <w:p>
      <w:pPr>
        <w:ind w:right="790"/>
        <w:jc w:val="center"/>
        <w:rPr>
          <w:rFonts w:ascii="Times New Roman" w:hAnsi="Times New Roman" w:eastAsia="宋体"/>
          <w:b/>
          <w:bCs/>
          <w:sz w:val="48"/>
        </w:rPr>
      </w:pPr>
      <w:r>
        <w:rPr>
          <w:rFonts w:hint="eastAsia" w:ascii="Times New Roman" w:hAnsi="Times New Roman" w:eastAsia="宋体"/>
          <w:b/>
          <w:bCs/>
          <w:sz w:val="48"/>
        </w:rPr>
        <w:t xml:space="preserve"> </w:t>
      </w:r>
      <w:r>
        <w:rPr>
          <w:rFonts w:ascii="Times New Roman" w:hAnsi="Times New Roman" w:eastAsia="宋体"/>
          <w:b/>
          <w:bCs/>
          <w:sz w:val="48"/>
        </w:rPr>
        <w:t xml:space="preserve">   </w:t>
      </w:r>
      <w:r>
        <w:rPr>
          <w:rFonts w:hint="eastAsia" w:ascii="Times New Roman" w:hAnsi="Times New Roman" w:eastAsia="宋体"/>
          <w:b/>
          <w:bCs/>
          <w:sz w:val="48"/>
        </w:rPr>
        <w:t>非传统水源利用报告</w:t>
      </w: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pStyle w:val="5"/>
        <w:ind w:firstLine="3000" w:firstLineChars="1000"/>
        <w:rPr>
          <w:rFonts w:ascii="Times New Roman" w:hAnsi="Times New Roman"/>
          <w:sz w:val="30"/>
          <w:szCs w:val="30"/>
        </w:rPr>
      </w:pPr>
      <w:r>
        <w:rPr>
          <w:rFonts w:hint="eastAsia" w:ascii="Times New Roman" w:hAnsi="Times New Roman"/>
          <w:sz w:val="30"/>
          <w:szCs w:val="30"/>
        </w:rPr>
        <w:t>北京XXX公司</w:t>
      </w:r>
    </w:p>
    <w:p>
      <w:pPr>
        <w:widowControl/>
        <w:jc w:val="center"/>
        <w:rPr>
          <w:rFonts w:ascii="Times New Roman" w:hAnsi="Times New Roman" w:eastAsia="宋体"/>
        </w:rPr>
      </w:pPr>
      <w:r>
        <w:rPr>
          <w:rFonts w:ascii="Times New Roman" w:hAnsi="Times New Roman" w:eastAsia="宋体" w:cs="Times New Roman"/>
          <w:sz w:val="30"/>
          <w:szCs w:val="30"/>
        </w:rPr>
        <w:t>2021-05-11</w:t>
      </w:r>
      <w:r>
        <w:rPr>
          <w:rFonts w:ascii="Times New Roman" w:hAnsi="Times New Roman" w:eastAsia="宋体"/>
        </w:rPr>
        <w:br w:type="page"/>
      </w:r>
    </w:p>
    <w:sdt>
      <w:sdtPr>
        <w:rPr>
          <w:rFonts w:asciiTheme="minorHAnsi" w:hAnsiTheme="minorHAnsi" w:eastAsiaTheme="minorEastAsia" w:cstheme="minorBidi"/>
          <w:color w:val="auto"/>
          <w:kern w:val="2"/>
          <w:sz w:val="21"/>
          <w:szCs w:val="22"/>
          <w:lang w:val="zh-CN"/>
        </w:rPr>
        <w:id w:val="161077628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2"/>
            <w:jc w:val="center"/>
          </w:pPr>
          <w:r>
            <w:rPr>
              <w:lang w:val="zh-CN"/>
            </w:rPr>
            <w:t>目录</w:t>
          </w:r>
        </w:p>
        <w:p>
          <w:pPr>
            <w:pStyle w:val="9"/>
            <w:tabs>
              <w:tab w:val="left" w:pos="840"/>
              <w:tab w:val="right" w:leader="dot" w:pos="8296"/>
            </w:tabs>
          </w:pPr>
          <w:r>
            <w:fldChar w:fldCharType="begin"/>
          </w:r>
          <w:r>
            <w:instrText xml:space="preserve"> TOC \o "1-3" \h \z \u </w:instrText>
          </w:r>
          <w:r>
            <w:fldChar w:fldCharType="separate"/>
          </w:r>
          <w:r>
            <w:fldChar w:fldCharType="begin"/>
          </w:r>
          <w:r>
            <w:instrText xml:space="preserve"> HYPERLINK \l "_Toc62030775" </w:instrText>
          </w:r>
          <w:r>
            <w:fldChar w:fldCharType="separate"/>
          </w:r>
          <w:r>
            <w:rPr>
              <w:rStyle w:val="13"/>
              <w:rFonts w:ascii="Times New Roman" w:hAnsi="Times New Roman" w:eastAsia="宋体"/>
            </w:rPr>
            <w:t>一、</w:t>
          </w:r>
          <w:r>
            <w:tab/>
          </w:r>
          <w:r>
            <w:rPr>
              <w:rStyle w:val="13"/>
              <w:rFonts w:ascii="Times New Roman" w:hAnsi="Times New Roman" w:eastAsia="宋体"/>
            </w:rPr>
            <w:t>项目概况</w:t>
          </w:r>
          <w:r>
            <w:tab/>
          </w:r>
          <w:r>
            <w:fldChar w:fldCharType="begin"/>
          </w:r>
          <w:r>
            <w:instrText xml:space="preserve"> PAGEREF _Toc62030775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"_Toc62030776" </w:instrText>
          </w:r>
          <w:r>
            <w:fldChar w:fldCharType="separate"/>
          </w:r>
          <w:r>
            <w:rPr>
              <w:rStyle w:val="13"/>
              <w:rFonts w:ascii="Times New Roman" w:hAnsi="Times New Roman" w:eastAsia="宋体"/>
            </w:rPr>
            <w:t>二、</w:t>
          </w:r>
          <w:r>
            <w:tab/>
          </w:r>
          <w:r>
            <w:rPr>
              <w:rStyle w:val="13"/>
              <w:rFonts w:ascii="Times New Roman" w:hAnsi="Times New Roman" w:eastAsia="宋体"/>
            </w:rPr>
            <w:t>非传统水源利用方案</w:t>
          </w:r>
          <w:r>
            <w:tab/>
          </w:r>
          <w:r>
            <w:fldChar w:fldCharType="begin"/>
          </w:r>
          <w:r>
            <w:instrText xml:space="preserve"> PAGEREF _Toc62030776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"_Toc62030777" </w:instrText>
          </w:r>
          <w:r>
            <w:fldChar w:fldCharType="separate"/>
          </w:r>
          <w:r>
            <w:rPr>
              <w:rStyle w:val="13"/>
              <w:rFonts w:ascii="Times New Roman" w:hAnsi="Times New Roman" w:eastAsia="宋体"/>
            </w:rPr>
            <w:t>三、</w:t>
          </w:r>
          <w:r>
            <w:tab/>
          </w:r>
          <w:r>
            <w:rPr>
              <w:rStyle w:val="13"/>
              <w:rFonts w:ascii="Times New Roman" w:hAnsi="Times New Roman" w:eastAsia="宋体"/>
            </w:rPr>
            <w:t>用水量估算</w:t>
          </w:r>
          <w:r>
            <w:tab/>
          </w:r>
          <w:r>
            <w:fldChar w:fldCharType="begin"/>
          </w:r>
          <w:r>
            <w:instrText xml:space="preserve"> PAGEREF _Toc62030777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"_Toc62030778" </w:instrText>
          </w:r>
          <w:r>
            <w:fldChar w:fldCharType="separate"/>
          </w:r>
          <w:r>
            <w:rPr>
              <w:rStyle w:val="13"/>
              <w:rFonts w:ascii="Times New Roman" w:hAnsi="Times New Roman" w:eastAsia="宋体"/>
            </w:rPr>
            <w:t>四、</w:t>
          </w:r>
          <w:r>
            <w:tab/>
          </w:r>
          <w:r>
            <w:rPr>
              <w:rStyle w:val="13"/>
              <w:rFonts w:ascii="Times New Roman" w:hAnsi="Times New Roman" w:eastAsia="宋体"/>
            </w:rPr>
            <w:t>雨水利用量计算</w:t>
          </w:r>
          <w:r>
            <w:tab/>
          </w:r>
          <w:r>
            <w:fldChar w:fldCharType="begin"/>
          </w:r>
          <w:r>
            <w:instrText xml:space="preserve"> PAGEREF _Toc62030778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"_Toc62030779" </w:instrText>
          </w:r>
          <w:r>
            <w:fldChar w:fldCharType="separate"/>
          </w:r>
          <w:r>
            <w:rPr>
              <w:rStyle w:val="13"/>
              <w:rFonts w:ascii="Times New Roman" w:hAnsi="Times New Roman" w:eastAsia="宋体"/>
            </w:rPr>
            <w:t>4.1非传统水源收集量计算</w:t>
          </w:r>
          <w:r>
            <w:tab/>
          </w:r>
          <w:r>
            <w:fldChar w:fldCharType="begin"/>
          </w:r>
          <w:r>
            <w:instrText xml:space="preserve"> PAGEREF _Toc62030779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"_Toc62030780" </w:instrText>
          </w:r>
          <w:r>
            <w:fldChar w:fldCharType="separate"/>
          </w:r>
          <w:r>
            <w:rPr>
              <w:rStyle w:val="13"/>
              <w:rFonts w:ascii="Times New Roman" w:hAnsi="Times New Roman" w:eastAsia="宋体"/>
            </w:rPr>
            <w:t>4.2非传统水源需水量计算</w:t>
          </w:r>
          <w:r>
            <w:tab/>
          </w:r>
          <w:r>
            <w:fldChar w:fldCharType="begin"/>
          </w:r>
          <w:r>
            <w:instrText xml:space="preserve"> PAGEREF _Toc62030780 \h </w:instrText>
          </w:r>
          <w:r>
            <w:fldChar w:fldCharType="separate"/>
          </w:r>
          <w:r>
            <w:t>5</w:t>
          </w:r>
          <w:r>
            <w:fldChar w:fldCharType="end"/>
          </w:r>
          <w:r>
            <w:fldChar w:fldCharType="end"/>
          </w:r>
        </w:p>
        <w:p>
          <w:pPr>
            <w:pStyle w:val="6"/>
            <w:tabs>
              <w:tab w:val="right" w:leader="dot" w:pos="8296"/>
            </w:tabs>
          </w:pPr>
          <w:r>
            <w:fldChar w:fldCharType="begin"/>
          </w:r>
          <w:r>
            <w:instrText xml:space="preserve"> HYPERLINK \l "_Toc62030781" </w:instrText>
          </w:r>
          <w:r>
            <w:fldChar w:fldCharType="separate"/>
          </w:r>
          <w:r>
            <w:rPr>
              <w:rStyle w:val="13"/>
              <w:rFonts w:ascii="Times New Roman" w:hAnsi="Times New Roman" w:eastAsia="宋体"/>
            </w:rPr>
            <w:t>4.3水量平衡计算</w:t>
          </w:r>
          <w:r>
            <w:tab/>
          </w:r>
          <w:r>
            <w:fldChar w:fldCharType="begin"/>
          </w:r>
          <w:r>
            <w:instrText xml:space="preserve"> PAGEREF _Toc62030781 \h </w:instrText>
          </w:r>
          <w:r>
            <w:fldChar w:fldCharType="separate"/>
          </w:r>
          <w:r>
            <w:t>6</w:t>
          </w:r>
          <w:r>
            <w:fldChar w:fldCharType="end"/>
          </w:r>
          <w:r>
            <w:fldChar w:fldCharType="end"/>
          </w:r>
        </w:p>
        <w:p>
          <w:pPr>
            <w:pStyle w:val="6"/>
            <w:tabs>
              <w:tab w:val="right" w:leader="dot" w:pos="8296"/>
            </w:tabs>
          </w:pPr>
          <w:r>
            <w:fldChar w:fldCharType="begin"/>
          </w:r>
          <w:r>
            <w:instrText xml:space="preserve"> HYPERLINK \l "_Toc62030782" </w:instrText>
          </w:r>
          <w:r>
            <w:fldChar w:fldCharType="separate"/>
          </w:r>
          <w:r>
            <w:rPr>
              <w:rStyle w:val="13"/>
              <w:rFonts w:ascii="Times New Roman" w:hAnsi="Times New Roman" w:eastAsia="宋体"/>
            </w:rPr>
            <w:t>4.4非传统水源利用率计算</w:t>
          </w:r>
          <w:r>
            <w:tab/>
          </w:r>
          <w:r>
            <w:fldChar w:fldCharType="begin"/>
          </w:r>
          <w:r>
            <w:instrText xml:space="preserve"> PAGEREF _Toc62030782 \h </w:instrText>
          </w:r>
          <w:r>
            <w:fldChar w:fldCharType="separate"/>
          </w:r>
          <w:r>
            <w:t>7</w:t>
          </w:r>
          <w:r>
            <w:fldChar w:fldCharType="end"/>
          </w:r>
          <w:r>
            <w:fldChar w:fldCharType="end"/>
          </w:r>
        </w:p>
        <w:p>
          <w:pPr>
            <w:pStyle w:val="9"/>
            <w:tabs>
              <w:tab w:val="left" w:pos="840"/>
              <w:tab w:val="right" w:leader="dot" w:pos="8296"/>
            </w:tabs>
          </w:pPr>
          <w:r>
            <w:fldChar w:fldCharType="begin"/>
          </w:r>
          <w:r>
            <w:instrText xml:space="preserve"> HYPERLINK \l "_Toc62030783" </w:instrText>
          </w:r>
          <w:r>
            <w:fldChar w:fldCharType="separate"/>
          </w:r>
          <w:r>
            <w:rPr>
              <w:rStyle w:val="13"/>
              <w:rFonts w:ascii="Times New Roman" w:hAnsi="Times New Roman" w:eastAsia="宋体"/>
            </w:rPr>
            <w:t>五、</w:t>
          </w:r>
          <w:r>
            <w:tab/>
          </w:r>
          <w:r>
            <w:rPr>
              <w:rStyle w:val="13"/>
              <w:rFonts w:ascii="Times New Roman" w:hAnsi="Times New Roman" w:eastAsia="宋体"/>
            </w:rPr>
            <w:t>净化系统设计</w:t>
          </w:r>
          <w:r>
            <w:tab/>
          </w:r>
          <w:r>
            <w:fldChar w:fldCharType="begin"/>
          </w:r>
          <w:r>
            <w:instrText xml:space="preserve"> PAGEREF _Toc62030783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"_Toc62030784" </w:instrText>
          </w:r>
          <w:r>
            <w:fldChar w:fldCharType="separate"/>
          </w:r>
          <w:r>
            <w:rPr>
              <w:rStyle w:val="13"/>
              <w:rFonts w:ascii="Times New Roman" w:hAnsi="Times New Roman" w:eastAsia="宋体"/>
            </w:rPr>
            <w:t>5.1处理目标</w:t>
          </w:r>
          <w:r>
            <w:tab/>
          </w:r>
          <w:r>
            <w:fldChar w:fldCharType="begin"/>
          </w:r>
          <w:r>
            <w:instrText xml:space="preserve"> PAGEREF _Toc62030784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"_Toc62030785" </w:instrText>
          </w:r>
          <w:r>
            <w:fldChar w:fldCharType="separate"/>
          </w:r>
          <w:r>
            <w:rPr>
              <w:rStyle w:val="13"/>
              <w:rFonts w:ascii="Times New Roman" w:hAnsi="Times New Roman" w:eastAsia="宋体"/>
            </w:rPr>
            <w:t>5.2工艺流程</w:t>
          </w:r>
          <w:r>
            <w:tab/>
          </w:r>
          <w:r>
            <w:fldChar w:fldCharType="begin"/>
          </w:r>
          <w:r>
            <w:instrText xml:space="preserve"> PAGEREF _Toc62030785 \h </w:instrText>
          </w:r>
          <w:r>
            <w:fldChar w:fldCharType="separate"/>
          </w:r>
          <w:r>
            <w:t>9</w:t>
          </w:r>
          <w:r>
            <w:fldChar w:fldCharType="end"/>
          </w:r>
          <w:r>
            <w:fldChar w:fldCharType="end"/>
          </w:r>
        </w:p>
        <w:p>
          <w:pPr>
            <w:pStyle w:val="6"/>
            <w:tabs>
              <w:tab w:val="right" w:leader="dot" w:pos="8296"/>
            </w:tabs>
          </w:pPr>
          <w:r>
            <w:fldChar w:fldCharType="begin"/>
          </w:r>
          <w:r>
            <w:instrText xml:space="preserve"> HYPERLINK \l "_Toc62030786" </w:instrText>
          </w:r>
          <w:r>
            <w:fldChar w:fldCharType="separate"/>
          </w:r>
          <w:r>
            <w:rPr>
              <w:rStyle w:val="13"/>
              <w:rFonts w:ascii="Times New Roman" w:hAnsi="Times New Roman" w:eastAsia="宋体"/>
            </w:rPr>
            <w:t>5.3安全措施</w:t>
          </w:r>
          <w:r>
            <w:tab/>
          </w:r>
          <w:r>
            <w:fldChar w:fldCharType="begin"/>
          </w:r>
          <w:r>
            <w:instrText xml:space="preserve"> PAGEREF _Toc62030786 \h </w:instrText>
          </w:r>
          <w:r>
            <w:fldChar w:fldCharType="separate"/>
          </w:r>
          <w:r>
            <w:t>10</w:t>
          </w:r>
          <w:r>
            <w:fldChar w:fldCharType="end"/>
          </w:r>
          <w:r>
            <w:fldChar w:fldCharType="end"/>
          </w:r>
        </w:p>
        <w:p>
          <w:pPr>
            <w:pStyle w:val="9"/>
            <w:tabs>
              <w:tab w:val="left" w:pos="840"/>
              <w:tab w:val="right" w:leader="dot" w:pos="8296"/>
            </w:tabs>
          </w:pPr>
          <w:r>
            <w:fldChar w:fldCharType="begin"/>
          </w:r>
          <w:r>
            <w:instrText xml:space="preserve"> HYPERLINK \l "_Toc62030787" </w:instrText>
          </w:r>
          <w:r>
            <w:fldChar w:fldCharType="separate"/>
          </w:r>
          <w:r>
            <w:rPr>
              <w:rStyle w:val="13"/>
              <w:rFonts w:ascii="Times New Roman" w:hAnsi="Times New Roman" w:eastAsia="宋体"/>
            </w:rPr>
            <w:t>六、</w:t>
          </w:r>
          <w:r>
            <w:tab/>
          </w:r>
          <w:r>
            <w:rPr>
              <w:rStyle w:val="13"/>
              <w:rFonts w:ascii="Times New Roman" w:hAnsi="Times New Roman" w:eastAsia="宋体"/>
            </w:rPr>
            <w:t>非传统水源利用经济指标及效益分析</w:t>
          </w:r>
          <w:r>
            <w:tab/>
          </w:r>
          <w:r>
            <w:fldChar w:fldCharType="begin"/>
          </w:r>
          <w:r>
            <w:instrText xml:space="preserve"> PAGEREF _Toc62030787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"_Toc62030788" </w:instrText>
          </w:r>
          <w:r>
            <w:fldChar w:fldCharType="separate"/>
          </w:r>
          <w:r>
            <w:rPr>
              <w:rStyle w:val="13"/>
              <w:rFonts w:ascii="Times New Roman" w:hAnsi="Times New Roman" w:eastAsia="宋体"/>
            </w:rPr>
            <w:t>6.1经济效益分析</w:t>
          </w:r>
          <w:r>
            <w:tab/>
          </w:r>
          <w:r>
            <w:fldChar w:fldCharType="begin"/>
          </w:r>
          <w:r>
            <w:instrText xml:space="preserve"> PAGEREF _Toc62030788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"_Toc62030789" </w:instrText>
          </w:r>
          <w:r>
            <w:fldChar w:fldCharType="separate"/>
          </w:r>
          <w:r>
            <w:rPr>
              <w:rStyle w:val="13"/>
              <w:rFonts w:ascii="Times New Roman" w:hAnsi="Times New Roman" w:eastAsia="宋体"/>
            </w:rPr>
            <w:t>6.2环境效益分析</w:t>
          </w:r>
          <w:r>
            <w:tab/>
          </w:r>
          <w:r>
            <w:fldChar w:fldCharType="begin"/>
          </w:r>
          <w:r>
            <w:instrText xml:space="preserve"> PAGEREF _Toc62030789 \h </w:instrText>
          </w:r>
          <w:r>
            <w:fldChar w:fldCharType="separate"/>
          </w:r>
          <w:r>
            <w:t>11</w:t>
          </w:r>
          <w:r>
            <w:fldChar w:fldCharType="end"/>
          </w:r>
          <w:r>
            <w:fldChar w:fldCharType="end"/>
          </w:r>
        </w:p>
        <w:p>
          <w:pPr>
            <w:pStyle w:val="9"/>
            <w:tabs>
              <w:tab w:val="left" w:pos="840"/>
              <w:tab w:val="right" w:leader="dot" w:pos="8296"/>
            </w:tabs>
          </w:pPr>
          <w:r>
            <w:fldChar w:fldCharType="begin"/>
          </w:r>
          <w:r>
            <w:instrText xml:space="preserve"> HYPERLINK \l "_Toc62030790" </w:instrText>
          </w:r>
          <w:r>
            <w:fldChar w:fldCharType="separate"/>
          </w:r>
          <w:r>
            <w:rPr>
              <w:rStyle w:val="13"/>
              <w:rFonts w:ascii="Times New Roman" w:hAnsi="Times New Roman" w:eastAsia="宋体"/>
            </w:rPr>
            <w:t>七、</w:t>
          </w:r>
          <w:r>
            <w:tab/>
          </w:r>
          <w:r>
            <w:rPr>
              <w:rStyle w:val="13"/>
              <w:rFonts w:ascii="Times New Roman" w:hAnsi="Times New Roman" w:eastAsia="宋体"/>
            </w:rPr>
            <w:t>结论</w:t>
          </w:r>
          <w:r>
            <w:tab/>
          </w:r>
          <w:r>
            <w:fldChar w:fldCharType="begin"/>
          </w:r>
          <w:r>
            <w:instrText xml:space="preserve"> PAGEREF _Toc62030790 \h </w:instrText>
          </w:r>
          <w:r>
            <w:fldChar w:fldCharType="separate"/>
          </w:r>
          <w:r>
            <w:t>11</w:t>
          </w:r>
          <w:r>
            <w:fldChar w:fldCharType="end"/>
          </w:r>
          <w:r>
            <w:fldChar w:fldCharType="end"/>
          </w:r>
        </w:p>
        <w:p>
          <w:r>
            <w:rPr>
              <w:b/>
              <w:bCs/>
              <w:lang w:val="zh-CN"/>
            </w:rPr>
            <w:fldChar w:fldCharType="end"/>
          </w:r>
        </w:p>
      </w:sdtContent>
    </w:sdt>
    <w:p>
      <w:pPr>
        <w:widowControl/>
        <w:jc w:val="left"/>
        <w:rPr>
          <w:rFonts w:ascii="Times New Roman" w:hAnsi="Times New Roman" w:eastAsia="宋体"/>
        </w:rPr>
      </w:pPr>
    </w:p>
    <w:p>
      <w:pPr>
        <w:widowControl/>
        <w:jc w:val="left"/>
        <w:rPr>
          <w:rFonts w:ascii="Times New Roman" w:hAnsi="Times New Roman" w:eastAsia="宋体"/>
        </w:rPr>
      </w:pPr>
      <w:r>
        <w:rPr>
          <w:rFonts w:ascii="Times New Roman" w:hAnsi="Times New Roman" w:eastAsia="宋体"/>
        </w:rPr>
        <w:br w:type="page"/>
      </w:r>
    </w:p>
    <w:p>
      <w:pPr>
        <w:pStyle w:val="2"/>
        <w:numPr>
          <w:ilvl w:val="0"/>
          <w:numId w:val="1"/>
        </w:numPr>
        <w:rPr>
          <w:rFonts w:ascii="Times New Roman" w:hAnsi="Times New Roman" w:eastAsia="宋体"/>
          <w:sz w:val="32"/>
          <w:szCs w:val="32"/>
        </w:rPr>
      </w:pPr>
      <w:bookmarkStart w:id="0" w:name="_Toc62030775"/>
      <w:r>
        <w:rPr>
          <w:rFonts w:hint="eastAsia" w:ascii="Times New Roman" w:hAnsi="Times New Roman" w:eastAsia="宋体"/>
          <w:sz w:val="32"/>
          <w:szCs w:val="32"/>
        </w:rPr>
        <w:t>项目概况</w:t>
      </w:r>
      <w:bookmarkEnd w:id="0"/>
    </w:p>
    <w:p>
      <w:pPr>
        <w:rPr>
          <w:rFonts w:hint="eastAsia" w:ascii="Times New Roman" w:hAnsi="Times New Roman" w:eastAsia="宋体"/>
        </w:rPr>
      </w:pPr>
      <w:r>
        <w:rPr>
          <w:rFonts w:hint="eastAsia" w:ascii="Times New Roman" w:hAnsi="Times New Roman" w:eastAsia="宋体"/>
        </w:rPr>
        <w:t>项目总用地面积14151.25㎡，总建筑面积为42631.80㎡，其中地上建筑面积31283.87㎡，</w:t>
      </w:r>
    </w:p>
    <w:p>
      <w:pPr>
        <w:rPr>
          <w:rFonts w:hint="eastAsia" w:ascii="Times New Roman" w:hAnsi="Times New Roman" w:eastAsia="宋体"/>
          <w:lang w:eastAsia="zh-CN"/>
        </w:rPr>
      </w:pPr>
      <w:r>
        <w:rPr>
          <w:rFonts w:hint="eastAsia" w:ascii="Times New Roman" w:hAnsi="Times New Roman" w:eastAsia="宋体"/>
        </w:rPr>
        <w:t>地下建筑面积11347.93㎡，建筑基底面积8448.60㎡，建筑覆盖率为59.70%。地上最高5层，地下4层，计容建筑面积为34213.06㎡，容积率为2.40，项目共设置机动车停车位108辆，地面设置16辆，其余92辆均设置在地下。项目含1栋5层教学综合楼及一栋2层的小剧场</w:t>
      </w:r>
      <w:r>
        <w:rPr>
          <w:rFonts w:hint="eastAsia" w:ascii="Times New Roman" w:hAnsi="Times New Roman" w:eastAsia="宋体"/>
          <w:lang w:eastAsia="zh-CN"/>
        </w:rPr>
        <w:t>。</w:t>
      </w:r>
    </w:p>
    <w:p>
      <w:pPr>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5266055" cy="3521710"/>
            <wp:effectExtent l="0" t="0" r="4445" b="8890"/>
            <wp:docPr id="1" name="图片 1" descr="339dc8d5ba946c3bde8e32da50e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9dc8d5ba946c3bde8e32da50e7683"/>
                    <pic:cNvPicPr>
                      <a:picLocks noChangeAspect="1"/>
                    </pic:cNvPicPr>
                  </pic:nvPicPr>
                  <pic:blipFill>
                    <a:blip r:embed="rId4"/>
                    <a:stretch>
                      <a:fillRect/>
                    </a:stretch>
                  </pic:blipFill>
                  <pic:spPr>
                    <a:xfrm>
                      <a:off x="0" y="0"/>
                      <a:ext cx="5266055" cy="3521710"/>
                    </a:xfrm>
                    <a:prstGeom prst="rect">
                      <a:avLst/>
                    </a:prstGeom>
                  </pic:spPr>
                </pic:pic>
              </a:graphicData>
            </a:graphic>
          </wp:inline>
        </w:drawing>
      </w:r>
    </w:p>
    <w:p>
      <w:pPr>
        <w:pStyle w:val="16"/>
        <w:ind w:firstLine="0" w:firstLineChars="0"/>
        <w:jc w:val="center"/>
        <w:rPr>
          <w:rFonts w:ascii="Times New Roman" w:hAnsi="Times New Roman" w:eastAsia="宋体"/>
          <w:sz w:val="18"/>
          <w:szCs w:val="18"/>
        </w:rPr>
      </w:pPr>
    </w:p>
    <w:p>
      <w:pPr>
        <w:pStyle w:val="2"/>
        <w:numPr>
          <w:ilvl w:val="0"/>
          <w:numId w:val="1"/>
        </w:numPr>
        <w:rPr>
          <w:rFonts w:ascii="Times New Roman" w:hAnsi="Times New Roman" w:eastAsia="宋体"/>
          <w:sz w:val="32"/>
          <w:szCs w:val="32"/>
        </w:rPr>
      </w:pPr>
      <w:bookmarkStart w:id="1" w:name="_Toc62030776"/>
      <w:r>
        <w:rPr>
          <w:rFonts w:hint="eastAsia" w:ascii="Times New Roman" w:hAnsi="Times New Roman" w:eastAsia="宋体"/>
          <w:sz w:val="32"/>
          <w:szCs w:val="32"/>
        </w:rPr>
        <w:t>非传统水源利用方案</w:t>
      </w:r>
      <w:bookmarkEnd w:id="1"/>
    </w:p>
    <w:p>
      <w:pPr>
        <w:rPr>
          <w:rFonts w:hint="eastAsia" w:ascii="Times New Roman" w:hAnsi="Times New Roman" w:eastAsia="宋体"/>
        </w:rPr>
      </w:pPr>
      <w:r>
        <w:rPr>
          <w:rFonts w:hint="eastAsia" w:ascii="Times New Roman" w:hAnsi="Times New Roman" w:eastAsia="宋体"/>
        </w:rPr>
        <w:t>根据场地条件，设置雨水基础生态设施，对场地雨水进行消纳，减少场地雨水的外排量，</w:t>
      </w:r>
    </w:p>
    <w:p>
      <w:pPr>
        <w:rPr>
          <w:rFonts w:hint="eastAsia" w:ascii="Times New Roman" w:hAnsi="Times New Roman" w:eastAsia="宋体"/>
        </w:rPr>
      </w:pPr>
      <w:r>
        <w:rPr>
          <w:rFonts w:hint="eastAsia" w:ascii="Times New Roman" w:hAnsi="Times New Roman" w:eastAsia="宋体"/>
        </w:rPr>
        <w:t>缓解城市雨水管网的泄洪压力，将内涝灾害防控、径流污染控制、雨水资源化利用有机结合，</w:t>
      </w:r>
    </w:p>
    <w:p>
      <w:pPr>
        <w:rPr>
          <w:rFonts w:ascii="Times New Roman" w:hAnsi="Times New Roman" w:eastAsia="宋体"/>
        </w:rPr>
      </w:pPr>
      <w:r>
        <w:rPr>
          <w:rFonts w:hint="eastAsia" w:ascii="Times New Roman" w:hAnsi="Times New Roman" w:eastAsia="宋体"/>
        </w:rPr>
        <w:t>取得多目标的环境生态效益，促进城市建设开发与水文生态的和谐发展。</w:t>
      </w:r>
    </w:p>
    <w:p>
      <w:pPr>
        <w:pStyle w:val="2"/>
        <w:numPr>
          <w:ilvl w:val="0"/>
          <w:numId w:val="1"/>
        </w:numPr>
        <w:rPr>
          <w:rFonts w:ascii="Times New Roman" w:hAnsi="Times New Roman" w:eastAsia="宋体"/>
          <w:sz w:val="32"/>
          <w:szCs w:val="32"/>
        </w:rPr>
      </w:pPr>
      <w:bookmarkStart w:id="2" w:name="_Toc62030783"/>
      <w:r>
        <w:rPr>
          <w:rFonts w:hint="eastAsia" w:ascii="Times New Roman" w:hAnsi="Times New Roman" w:eastAsia="宋体"/>
          <w:sz w:val="32"/>
          <w:szCs w:val="32"/>
        </w:rPr>
        <w:t>净化系统设计</w:t>
      </w:r>
      <w:bookmarkEnd w:id="2"/>
    </w:p>
    <w:p>
      <w:r>
        <w:drawing>
          <wp:inline distT="0" distB="0" distL="114300" distR="114300">
            <wp:extent cx="3746500" cy="20828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46500" cy="2082800"/>
                    </a:xfrm>
                    <a:prstGeom prst="rect">
                      <a:avLst/>
                    </a:prstGeom>
                    <a:noFill/>
                    <a:ln>
                      <a:noFill/>
                    </a:ln>
                  </pic:spPr>
                </pic:pic>
              </a:graphicData>
            </a:graphic>
          </wp:inline>
        </w:drawing>
      </w:r>
    </w:p>
    <w:p>
      <w:pPr>
        <w:pStyle w:val="3"/>
        <w:numPr>
          <w:ilvl w:val="0"/>
          <w:numId w:val="1"/>
        </w:numPr>
        <w:ind w:left="870" w:leftChars="0" w:hanging="870" w:firstLineChars="0"/>
        <w:rPr>
          <w:rFonts w:hint="eastAsia" w:ascii="Times New Roman" w:hAnsi="Times New Roman" w:eastAsia="宋体"/>
          <w:sz w:val="30"/>
          <w:szCs w:val="30"/>
          <w:lang w:val="en-US" w:eastAsia="zh-CN"/>
        </w:rPr>
      </w:pPr>
      <w:bookmarkStart w:id="3" w:name="_Toc62030784"/>
      <w:r>
        <w:rPr>
          <w:rFonts w:hint="eastAsia" w:ascii="Times New Roman" w:hAnsi="Times New Roman" w:eastAsia="宋体"/>
          <w:sz w:val="30"/>
          <w:szCs w:val="30"/>
          <w:lang w:val="en-US" w:eastAsia="zh-CN"/>
        </w:rPr>
        <w:t>雨水排水</w:t>
      </w:r>
    </w:p>
    <w:p>
      <w:pPr>
        <w:numPr>
          <w:numId w:val="0"/>
        </w:numPr>
        <w:ind w:leftChars="0"/>
        <w:rPr>
          <w:rFonts w:hint="default"/>
          <w:lang w:val="en-US" w:eastAsia="zh-CN"/>
        </w:rPr>
      </w:pPr>
      <w:r>
        <w:rPr>
          <w:rFonts w:hint="default"/>
          <w:lang w:val="en-US" w:eastAsia="zh-CN"/>
        </w:rPr>
        <w:t xml:space="preserve">雨水排水 </w:t>
      </w:r>
    </w:p>
    <w:p>
      <w:pPr>
        <w:numPr>
          <w:numId w:val="0"/>
        </w:numPr>
        <w:ind w:leftChars="0"/>
        <w:rPr>
          <w:rFonts w:hint="default"/>
          <w:lang w:val="en-US" w:eastAsia="zh-CN"/>
        </w:rPr>
      </w:pPr>
      <w:r>
        <w:rPr>
          <w:rFonts w:hint="default"/>
          <w:lang w:val="en-US" w:eastAsia="zh-CN"/>
        </w:rPr>
        <w:t xml:space="preserve">屋面雨水采用内排水方式。雨水采用单斗式，重力排入建筑周围的雨水排水 </w:t>
      </w:r>
    </w:p>
    <w:p>
      <w:pPr>
        <w:numPr>
          <w:numId w:val="0"/>
        </w:numPr>
        <w:ind w:leftChars="0"/>
        <w:rPr>
          <w:rFonts w:hint="default"/>
          <w:lang w:val="en-US" w:eastAsia="zh-CN"/>
        </w:rPr>
      </w:pPr>
      <w:r>
        <w:rPr>
          <w:rFonts w:hint="default"/>
          <w:lang w:val="en-US" w:eastAsia="zh-CN"/>
        </w:rPr>
        <w:t>沟或雨水排水检查井，最终排入市政雨水排水管网。室外场地及道路雨水由设于室外道</w:t>
      </w:r>
    </w:p>
    <w:p>
      <w:pPr>
        <w:numPr>
          <w:numId w:val="0"/>
        </w:numPr>
        <w:ind w:leftChars="0"/>
        <w:rPr>
          <w:rFonts w:hint="default"/>
          <w:lang w:val="en-US" w:eastAsia="zh-CN"/>
        </w:rPr>
      </w:pPr>
      <w:r>
        <w:rPr>
          <w:rFonts w:hint="default"/>
          <w:lang w:val="en-US" w:eastAsia="zh-CN"/>
        </w:rPr>
        <w:t xml:space="preserve">路上的雨水口或截水明沟收集，排入雨水检查井，汇集后排入市政雨水排水管网。 </w:t>
      </w:r>
    </w:p>
    <w:p>
      <w:pPr>
        <w:numPr>
          <w:numId w:val="0"/>
        </w:numPr>
        <w:ind w:leftChars="0"/>
        <w:rPr>
          <w:rFonts w:hint="default"/>
          <w:lang w:val="en-US" w:eastAsia="zh-CN"/>
        </w:rPr>
      </w:pPr>
      <w:r>
        <w:rPr>
          <w:rFonts w:hint="default"/>
          <w:lang w:val="en-US" w:eastAsia="zh-CN"/>
        </w:rPr>
        <w:t xml:space="preserve">雨水系统设计采用深圳市暴雨强度公式： </w:t>
      </w:r>
    </w:p>
    <w:p>
      <w:pPr>
        <w:numPr>
          <w:numId w:val="0"/>
        </w:numPr>
        <w:ind w:leftChars="0"/>
        <w:rPr>
          <w:rFonts w:hint="default"/>
          <w:lang w:val="en-US" w:eastAsia="zh-CN"/>
        </w:rPr>
      </w:pPr>
      <w:r>
        <w:rPr>
          <w:rFonts w:hint="default"/>
          <w:lang w:val="en-US" w:eastAsia="zh-CN"/>
        </w:rPr>
        <w:t xml:space="preserve">当设计重现期 p=5a、降雨历时 t=10min 时，降雨强度为 3.82L/s.100m2， </w:t>
      </w:r>
    </w:p>
    <w:p>
      <w:pPr>
        <w:numPr>
          <w:numId w:val="0"/>
        </w:numPr>
        <w:ind w:leftChars="0"/>
        <w:rPr>
          <w:rFonts w:hint="default"/>
          <w:lang w:val="en-US" w:eastAsia="zh-CN"/>
        </w:rPr>
      </w:pPr>
      <w:r>
        <w:rPr>
          <w:rFonts w:hint="default"/>
          <w:lang w:val="en-US" w:eastAsia="zh-CN"/>
        </w:rPr>
        <w:t xml:space="preserve">当设计重现期 p=10a、降雨历时 t=5min 时，降雨强度为 4.92L/s.100m2， </w:t>
      </w:r>
    </w:p>
    <w:p>
      <w:pPr>
        <w:numPr>
          <w:numId w:val="0"/>
        </w:numPr>
        <w:ind w:leftChars="0"/>
        <w:rPr>
          <w:rFonts w:hint="default"/>
          <w:lang w:val="en-US" w:eastAsia="zh-CN"/>
        </w:rPr>
      </w:pPr>
      <w:r>
        <w:rPr>
          <w:rFonts w:hint="default"/>
          <w:lang w:val="en-US" w:eastAsia="zh-CN"/>
        </w:rPr>
        <w:t xml:space="preserve"> 本工程屋面设计重现期按 10a 考虑，室外场地设计重现期按 5a 考虑。</w:t>
      </w:r>
      <w:bookmarkStart w:id="8" w:name="_GoBack"/>
      <w:bookmarkEnd w:id="8"/>
    </w:p>
    <w:p>
      <w:pPr>
        <w:pStyle w:val="3"/>
        <w:rPr>
          <w:rFonts w:ascii="Times New Roman" w:hAnsi="Times New Roman" w:eastAsia="宋体"/>
          <w:sz w:val="30"/>
          <w:szCs w:val="30"/>
        </w:rPr>
      </w:pPr>
      <w:r>
        <w:rPr>
          <w:rFonts w:hint="eastAsia" w:ascii="Times New Roman" w:hAnsi="Times New Roman" w:eastAsia="宋体"/>
          <w:sz w:val="30"/>
          <w:szCs w:val="30"/>
          <w:lang w:val="en-US" w:eastAsia="zh-CN"/>
        </w:rPr>
        <w:t>五、</w:t>
      </w:r>
      <w:r>
        <w:rPr>
          <w:rFonts w:hint="eastAsia" w:ascii="Times New Roman" w:hAnsi="Times New Roman" w:eastAsia="宋体"/>
          <w:sz w:val="30"/>
          <w:szCs w:val="30"/>
        </w:rPr>
        <w:t>处理目标</w:t>
      </w:r>
      <w:bookmarkEnd w:id="3"/>
    </w:p>
    <w:p>
      <w:pPr>
        <w:spacing w:line="360" w:lineRule="auto"/>
        <w:ind w:firstLine="420" w:firstLineChars="200"/>
        <w:rPr>
          <w:rFonts w:ascii="Times New Roman" w:hAnsi="Times New Roman" w:eastAsia="宋体"/>
        </w:rPr>
      </w:pPr>
      <w:r>
        <w:rPr>
          <w:rFonts w:hint="eastAsia" w:ascii="Times New Roman" w:hAnsi="Times New Roman" w:eastAsia="宋体"/>
        </w:rPr>
        <w:t>雨水用作建筑杂用水处理水质标准依据《城市污水再生利用城市杂用水水质》（GB/T</w:t>
      </w:r>
      <w:r>
        <w:rPr>
          <w:rFonts w:ascii="Times New Roman" w:hAnsi="Times New Roman" w:eastAsia="宋体"/>
        </w:rPr>
        <w:t xml:space="preserve"> </w:t>
      </w:r>
      <w:r>
        <w:rPr>
          <w:rFonts w:hint="eastAsia" w:ascii="Times New Roman" w:hAnsi="Times New Roman" w:eastAsia="宋体"/>
        </w:rPr>
        <w:t>18920）、《城市污水再生利用景观环境用水水质》（GB/T</w:t>
      </w:r>
      <w:r>
        <w:rPr>
          <w:rFonts w:ascii="Times New Roman" w:hAnsi="Times New Roman" w:eastAsia="宋体"/>
        </w:rPr>
        <w:t xml:space="preserve"> </w:t>
      </w:r>
      <w:r>
        <w:rPr>
          <w:rFonts w:hint="eastAsia" w:ascii="Times New Roman" w:hAnsi="Times New Roman" w:eastAsia="宋体"/>
        </w:rPr>
        <w:t>18921）、《地表水环境质量标准》（GB</w:t>
      </w:r>
      <w:r>
        <w:rPr>
          <w:rFonts w:ascii="Times New Roman" w:hAnsi="Times New Roman" w:eastAsia="宋体"/>
        </w:rPr>
        <w:t xml:space="preserve"> </w:t>
      </w:r>
      <w:r>
        <w:rPr>
          <w:rFonts w:hint="eastAsia" w:ascii="Times New Roman" w:hAnsi="Times New Roman" w:eastAsia="宋体"/>
        </w:rPr>
        <w:t>3838-2002）等标准，水质指标要求汇总如下：</w:t>
      </w:r>
    </w:p>
    <w:p>
      <w:pPr>
        <w:jc w:val="center"/>
      </w:pPr>
      <w:r>
        <w:rPr>
          <w:rFonts w:hint="eastAsia"/>
        </w:rPr>
        <w:t>表 5.1-1</w:t>
      </w:r>
      <w:r>
        <w:t xml:space="preserve"> </w:t>
      </w:r>
      <w:r>
        <w:rPr>
          <w:rFonts w:hint="eastAsia"/>
        </w:rPr>
        <w:t>成时杂用水水质标准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3786"/>
        <w:gridCol w:w="728"/>
        <w:gridCol w:w="1165"/>
        <w:gridCol w:w="727"/>
        <w:gridCol w:w="729"/>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序号</w:t>
            </w:r>
          </w:p>
        </w:tc>
        <w:tc>
          <w:tcPr>
            <w:tcW w:w="3686" w:type="dxa"/>
            <w:vAlign w:val="center"/>
          </w:tcPr>
          <w:p>
            <w:pPr>
              <w:jc w:val="center"/>
            </w:pPr>
            <w:r>
              <w:rPr>
                <w:rFonts w:hint="eastAsia"/>
              </w:rPr>
              <w:t>项目</w:t>
            </w:r>
          </w:p>
        </w:tc>
        <w:tc>
          <w:tcPr>
            <w:tcW w:w="709" w:type="dxa"/>
            <w:vAlign w:val="center"/>
          </w:tcPr>
          <w:p>
            <w:pPr>
              <w:jc w:val="center"/>
            </w:pPr>
            <w:r>
              <w:rPr>
                <w:rFonts w:hint="eastAsia"/>
              </w:rPr>
              <w:t>冲厕</w:t>
            </w:r>
          </w:p>
        </w:tc>
        <w:tc>
          <w:tcPr>
            <w:tcW w:w="1134" w:type="dxa"/>
            <w:vAlign w:val="center"/>
          </w:tcPr>
          <w:p>
            <w:pPr>
              <w:jc w:val="center"/>
            </w:pPr>
            <w:r>
              <w:rPr>
                <w:rFonts w:hint="eastAsia"/>
              </w:rPr>
              <w:t>道路清扫、消防</w:t>
            </w:r>
          </w:p>
        </w:tc>
        <w:tc>
          <w:tcPr>
            <w:tcW w:w="708" w:type="dxa"/>
            <w:vAlign w:val="center"/>
          </w:tcPr>
          <w:p>
            <w:pPr>
              <w:jc w:val="center"/>
            </w:pPr>
            <w:r>
              <w:rPr>
                <w:rFonts w:hint="eastAsia"/>
              </w:rPr>
              <w:t>城市绿化</w:t>
            </w:r>
          </w:p>
        </w:tc>
        <w:tc>
          <w:tcPr>
            <w:tcW w:w="709" w:type="dxa"/>
            <w:vAlign w:val="center"/>
          </w:tcPr>
          <w:p>
            <w:pPr>
              <w:jc w:val="center"/>
            </w:pPr>
            <w:r>
              <w:rPr>
                <w:rFonts w:hint="eastAsia"/>
              </w:rPr>
              <w:t>车库冲洗</w:t>
            </w:r>
          </w:p>
        </w:tc>
        <w:tc>
          <w:tcPr>
            <w:tcW w:w="788" w:type="dxa"/>
            <w:vAlign w:val="center"/>
          </w:tcPr>
          <w:p>
            <w:pPr>
              <w:jc w:val="center"/>
            </w:pPr>
            <w:r>
              <w:rPr>
                <w:rFonts w:hint="eastAsia"/>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3686" w:type="dxa"/>
            <w:vAlign w:val="center"/>
          </w:tcPr>
          <w:p>
            <w:pPr>
              <w:jc w:val="center"/>
            </w:pPr>
            <w:r>
              <w:rPr>
                <w:rFonts w:hint="eastAsia"/>
              </w:rPr>
              <w:t>pH</w:t>
            </w:r>
          </w:p>
        </w:tc>
        <w:tc>
          <w:tcPr>
            <w:tcW w:w="4048" w:type="dxa"/>
            <w:gridSpan w:val="5"/>
            <w:vAlign w:val="center"/>
          </w:tcPr>
          <w:p>
            <w:pPr>
              <w:jc w:val="center"/>
            </w:pPr>
            <w:r>
              <w:rPr>
                <w:rFonts w:hint="eastAsia"/>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3686" w:type="dxa"/>
            <w:vAlign w:val="center"/>
          </w:tcPr>
          <w:p>
            <w:pPr>
              <w:jc w:val="center"/>
            </w:pPr>
            <w:r>
              <w:rPr>
                <w:rFonts w:hint="eastAsia"/>
              </w:rPr>
              <w:t>色（度）≤</w:t>
            </w:r>
          </w:p>
        </w:tc>
        <w:tc>
          <w:tcPr>
            <w:tcW w:w="4048" w:type="dxa"/>
            <w:gridSpan w:val="5"/>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3686" w:type="dxa"/>
            <w:vAlign w:val="center"/>
          </w:tcPr>
          <w:p>
            <w:pPr>
              <w:jc w:val="center"/>
            </w:pPr>
            <w:r>
              <w:rPr>
                <w:rFonts w:hint="eastAsia"/>
              </w:rPr>
              <w:t>嗅</w:t>
            </w:r>
          </w:p>
        </w:tc>
        <w:tc>
          <w:tcPr>
            <w:tcW w:w="4048" w:type="dxa"/>
            <w:gridSpan w:val="5"/>
            <w:vAlign w:val="center"/>
          </w:tcPr>
          <w:p>
            <w:pPr>
              <w:jc w:val="center"/>
            </w:pPr>
            <w:r>
              <w:rPr>
                <w:rFonts w:hint="eastAsia"/>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3686" w:type="dxa"/>
            <w:vAlign w:val="center"/>
          </w:tcPr>
          <w:p>
            <w:pPr>
              <w:jc w:val="center"/>
            </w:pPr>
            <w:r>
              <w:rPr>
                <w:rFonts w:hint="eastAsia"/>
              </w:rPr>
              <w:t>浊度（NTU）≤</w:t>
            </w:r>
          </w:p>
        </w:tc>
        <w:tc>
          <w:tcPr>
            <w:tcW w:w="709" w:type="dxa"/>
            <w:vAlign w:val="center"/>
          </w:tcPr>
          <w:p>
            <w:pPr>
              <w:jc w:val="center"/>
            </w:pPr>
            <w:r>
              <w:rPr>
                <w:rFonts w:hint="eastAsia"/>
              </w:rPr>
              <w:t>5</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5</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3686" w:type="dxa"/>
            <w:vAlign w:val="center"/>
          </w:tcPr>
          <w:p>
            <w:pPr>
              <w:jc w:val="center"/>
            </w:pPr>
            <w:r>
              <w:rPr>
                <w:rFonts w:hint="eastAsia"/>
              </w:rPr>
              <w:t>溶解性总固体（mg/L）≤</w:t>
            </w:r>
          </w:p>
        </w:tc>
        <w:tc>
          <w:tcPr>
            <w:tcW w:w="709" w:type="dxa"/>
            <w:vAlign w:val="center"/>
          </w:tcPr>
          <w:p>
            <w:pPr>
              <w:jc w:val="center"/>
            </w:pPr>
            <w:r>
              <w:rPr>
                <w:rFonts w:hint="eastAsia"/>
              </w:rPr>
              <w:t>1500</w:t>
            </w:r>
          </w:p>
        </w:tc>
        <w:tc>
          <w:tcPr>
            <w:tcW w:w="1134" w:type="dxa"/>
            <w:vAlign w:val="center"/>
          </w:tcPr>
          <w:p>
            <w:pPr>
              <w:jc w:val="center"/>
            </w:pPr>
            <w:r>
              <w:rPr>
                <w:rFonts w:hint="eastAsia"/>
              </w:rPr>
              <w:t>1500</w:t>
            </w:r>
          </w:p>
        </w:tc>
        <w:tc>
          <w:tcPr>
            <w:tcW w:w="708" w:type="dxa"/>
            <w:vAlign w:val="center"/>
          </w:tcPr>
          <w:p>
            <w:pPr>
              <w:jc w:val="center"/>
            </w:pPr>
            <w:r>
              <w:rPr>
                <w:rFonts w:hint="eastAsia"/>
              </w:rPr>
              <w:t>1000</w:t>
            </w:r>
          </w:p>
        </w:tc>
        <w:tc>
          <w:tcPr>
            <w:tcW w:w="709" w:type="dxa"/>
            <w:vAlign w:val="center"/>
          </w:tcPr>
          <w:p>
            <w:pPr>
              <w:jc w:val="center"/>
            </w:pPr>
            <w:r>
              <w:rPr>
                <w:rFonts w:hint="eastAsia"/>
              </w:rPr>
              <w:t>1000</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3686" w:type="dxa"/>
            <w:vAlign w:val="center"/>
          </w:tcPr>
          <w:p>
            <w:pPr>
              <w:jc w:val="center"/>
            </w:pPr>
            <w:r>
              <w:rPr>
                <w:rFonts w:hint="eastAsia"/>
              </w:rPr>
              <w:t>五日生化需样量（BOD5）（mg/L）≤</w:t>
            </w:r>
          </w:p>
        </w:tc>
        <w:tc>
          <w:tcPr>
            <w:tcW w:w="709" w:type="dxa"/>
            <w:vAlign w:val="center"/>
          </w:tcPr>
          <w:p>
            <w:pPr>
              <w:jc w:val="center"/>
            </w:pPr>
            <w:r>
              <w:rPr>
                <w:rFonts w:hint="eastAsia"/>
              </w:rPr>
              <w:t>10</w:t>
            </w:r>
          </w:p>
        </w:tc>
        <w:tc>
          <w:tcPr>
            <w:tcW w:w="1134" w:type="dxa"/>
            <w:vAlign w:val="center"/>
          </w:tcPr>
          <w:p>
            <w:pPr>
              <w:jc w:val="center"/>
            </w:pPr>
            <w:r>
              <w:rPr>
                <w:rFonts w:hint="eastAsia"/>
              </w:rPr>
              <w:t>15</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3686" w:type="dxa"/>
            <w:vAlign w:val="center"/>
          </w:tcPr>
          <w:p>
            <w:pPr>
              <w:jc w:val="center"/>
            </w:pPr>
            <w:r>
              <w:rPr>
                <w:rFonts w:hint="eastAsia"/>
              </w:rPr>
              <w:t>氨氮（mg/L）≤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3686" w:type="dxa"/>
            <w:vAlign w:val="center"/>
          </w:tcPr>
          <w:p>
            <w:pPr>
              <w:jc w:val="center"/>
            </w:pPr>
            <w:r>
              <w:rPr>
                <w:rFonts w:hint="eastAsia"/>
              </w:rPr>
              <w:t>阴离子表面活性剂（mg/L）≤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0.5</w:t>
            </w:r>
          </w:p>
        </w:tc>
        <w:tc>
          <w:tcPr>
            <w:tcW w:w="788"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3686" w:type="dxa"/>
            <w:vAlign w:val="center"/>
          </w:tcPr>
          <w:p>
            <w:pPr>
              <w:jc w:val="center"/>
            </w:pPr>
            <w:r>
              <w:rPr>
                <w:rFonts w:hint="eastAsia"/>
              </w:rPr>
              <w:t>铁（mg/L）≤</w:t>
            </w:r>
          </w:p>
        </w:tc>
        <w:tc>
          <w:tcPr>
            <w:tcW w:w="709" w:type="dxa"/>
            <w:vAlign w:val="center"/>
          </w:tcPr>
          <w:p>
            <w:pPr>
              <w:jc w:val="center"/>
            </w:pPr>
            <w:r>
              <w:rPr>
                <w:rFonts w:hint="eastAsia"/>
              </w:rPr>
              <w:t>0.3</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0.3</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3686" w:type="dxa"/>
            <w:vAlign w:val="center"/>
          </w:tcPr>
          <w:p>
            <w:pPr>
              <w:jc w:val="center"/>
            </w:pPr>
            <w:r>
              <w:rPr>
                <w:rFonts w:hint="eastAsia"/>
              </w:rPr>
              <w:t>锰（mg/L）≤</w:t>
            </w:r>
          </w:p>
        </w:tc>
        <w:tc>
          <w:tcPr>
            <w:tcW w:w="709" w:type="dxa"/>
            <w:vAlign w:val="center"/>
          </w:tcPr>
          <w:p>
            <w:pPr>
              <w:jc w:val="center"/>
            </w:pPr>
            <w:r>
              <w:rPr>
                <w:rFonts w:hint="eastAsia"/>
              </w:rPr>
              <w:t>0.1</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0.1</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3686" w:type="dxa"/>
            <w:vAlign w:val="center"/>
          </w:tcPr>
          <w:p>
            <w:pPr>
              <w:jc w:val="center"/>
            </w:pPr>
            <w:r>
              <w:rPr>
                <w:rFonts w:hint="eastAsia"/>
              </w:rPr>
              <w:t>溶解氧（mg/L）≤</w:t>
            </w:r>
          </w:p>
        </w:tc>
        <w:tc>
          <w:tcPr>
            <w:tcW w:w="709" w:type="dxa"/>
            <w:vAlign w:val="center"/>
          </w:tcPr>
          <w:p>
            <w:pPr>
              <w:jc w:val="center"/>
            </w:pPr>
            <w:r>
              <w:rPr>
                <w:rFonts w:hint="eastAsia"/>
              </w:rPr>
              <w:t>1.0</w:t>
            </w:r>
          </w:p>
        </w:tc>
        <w:tc>
          <w:tcPr>
            <w:tcW w:w="1134" w:type="dxa"/>
            <w:vAlign w:val="center"/>
          </w:tcPr>
          <w:p>
            <w:pPr>
              <w:jc w:val="center"/>
            </w:pPr>
          </w:p>
        </w:tc>
        <w:tc>
          <w:tcPr>
            <w:tcW w:w="708" w:type="dxa"/>
            <w:vAlign w:val="center"/>
          </w:tcPr>
          <w:p>
            <w:pPr>
              <w:jc w:val="center"/>
            </w:pPr>
          </w:p>
        </w:tc>
        <w:tc>
          <w:tcPr>
            <w:tcW w:w="709" w:type="dxa"/>
            <w:vAlign w:val="center"/>
          </w:tcPr>
          <w:p>
            <w:pPr>
              <w:jc w:val="center"/>
            </w:pPr>
          </w:p>
        </w:tc>
        <w:tc>
          <w:tcPr>
            <w:tcW w:w="78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3686" w:type="dxa"/>
            <w:vAlign w:val="center"/>
          </w:tcPr>
          <w:p>
            <w:pPr>
              <w:jc w:val="center"/>
            </w:pPr>
            <w:r>
              <w:rPr>
                <w:rFonts w:hint="eastAsia"/>
              </w:rPr>
              <w:t>总余氯（mg/L）≤</w:t>
            </w:r>
          </w:p>
        </w:tc>
        <w:tc>
          <w:tcPr>
            <w:tcW w:w="4048" w:type="dxa"/>
            <w:gridSpan w:val="5"/>
            <w:vAlign w:val="center"/>
          </w:tcPr>
          <w:p>
            <w:pPr>
              <w:jc w:val="center"/>
            </w:pPr>
            <w:r>
              <w:rPr>
                <w:rFonts w:hint="eastAsia"/>
              </w:rPr>
              <w:t>接触30min后≥1.0，管网末端≥0.2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13</w:t>
            </w:r>
          </w:p>
        </w:tc>
        <w:tc>
          <w:tcPr>
            <w:tcW w:w="3686" w:type="dxa"/>
            <w:vAlign w:val="center"/>
          </w:tcPr>
          <w:p>
            <w:pPr>
              <w:jc w:val="center"/>
            </w:pPr>
            <w:r>
              <w:rPr>
                <w:rFonts w:hint="eastAsia"/>
              </w:rPr>
              <w:t>总大肠杆菌（个/L）≤</w:t>
            </w:r>
          </w:p>
        </w:tc>
        <w:tc>
          <w:tcPr>
            <w:tcW w:w="4048" w:type="dxa"/>
            <w:gridSpan w:val="5"/>
            <w:vAlign w:val="center"/>
          </w:tcPr>
          <w:p>
            <w:pPr>
              <w:jc w:val="center"/>
            </w:pPr>
            <w:r>
              <w:rPr>
                <w:rFonts w:hint="eastAsia"/>
              </w:rPr>
              <w:t>3</w:t>
            </w:r>
          </w:p>
        </w:tc>
      </w:tr>
    </w:tbl>
    <w:p>
      <w:pPr>
        <w:pStyle w:val="3"/>
        <w:rPr>
          <w:rFonts w:ascii="Times New Roman" w:hAnsi="Times New Roman" w:eastAsia="宋体"/>
          <w:sz w:val="30"/>
          <w:szCs w:val="30"/>
        </w:rPr>
      </w:pPr>
      <w:bookmarkStart w:id="4" w:name="_Toc62030785"/>
      <w:r>
        <w:rPr>
          <w:rFonts w:hint="eastAsia" w:ascii="Times New Roman" w:hAnsi="Times New Roman" w:eastAsia="宋体"/>
          <w:sz w:val="30"/>
          <w:szCs w:val="30"/>
        </w:rPr>
        <w:t>5.2工艺流程</w:t>
      </w:r>
      <w:bookmarkEnd w:id="4"/>
    </w:p>
    <w:p>
      <w:pPr>
        <w:spacing w:line="360" w:lineRule="auto"/>
        <w:ind w:firstLine="420" w:firstLineChars="200"/>
        <w:rPr>
          <w:rFonts w:ascii="Times New Roman" w:hAnsi="Times New Roman" w:eastAsia="宋体"/>
        </w:rPr>
      </w:pPr>
      <w:r>
        <w:rPr>
          <w:rFonts w:hint="eastAsia" w:ascii="Times New Roman" w:hAnsi="Times New Roman" w:eastAsia="宋体"/>
        </w:rPr>
        <w:t>雨水水质分析：根据资料介绍，在降雨过程中雨水的水质有较大的变化。初期雨水水质较差，尤其在沥青屋面上，COD可高达1000mg/L左右，初期雨水过后，可回收的雨水COD在50-100mg/L之间。因此可利用的雨水初期直接排除，其余雨水进入雨水储池进行后续处理。除下雨初期污染较严重外（已通过弃流池外排），总的来讲是微污染水质，可直接进行过滤消毒后回用。</w:t>
      </w:r>
    </w:p>
    <w:p>
      <w:pPr>
        <w:spacing w:line="360" w:lineRule="auto"/>
        <w:ind w:firstLine="420" w:firstLineChars="200"/>
        <w:rPr>
          <w:rFonts w:ascii="Times New Roman" w:hAnsi="Times New Roman" w:eastAsia="宋体"/>
        </w:rPr>
      </w:pPr>
      <w:r>
        <w:rPr>
          <w:rFonts w:hint="eastAsia" w:ascii="Times New Roman" w:hAnsi="Times New Roman" w:eastAsia="宋体"/>
        </w:rPr>
        <w:t>来自不同承接面上的降雨径流水质有较大差异，如来自屋顶等面积的降雨径流除初期收到轻度污染外，后期径流一般水质较好；而来自机动车道等面积上的降雨径流，则由于机动车辆的磨损而含有大量的金属、橡胶和燃油等污染物。因此，一般将来自不同面积上的降水径流分别收集，对来自屋顶等的径流，稍加处理即可用于浇灌绿地；对来自机动车辆道等面积上的径流则污染物浓度较高，需要深度处理达标后方可回用或排放。</w:t>
      </w:r>
    </w:p>
    <w:p>
      <w:pPr>
        <w:spacing w:line="360" w:lineRule="auto"/>
        <w:ind w:firstLine="420" w:firstLineChars="200"/>
        <w:rPr>
          <w:rFonts w:ascii="Times New Roman" w:hAnsi="Times New Roman" w:eastAsia="宋体"/>
        </w:rPr>
      </w:pPr>
      <w:r>
        <w:rPr>
          <w:rFonts w:hint="eastAsia" w:ascii="Times New Roman" w:hAnsi="Times New Roman" w:eastAsia="宋体"/>
        </w:rPr>
        <w:t>回用雨水的水质除了要符合国家再生污水的水质标准外，还要符合国家标准《建筑与小区雨水控制及利用工程给水规范》（GB</w:t>
      </w:r>
      <w:r>
        <w:rPr>
          <w:rFonts w:ascii="Times New Roman" w:hAnsi="Times New Roman" w:eastAsia="宋体"/>
        </w:rPr>
        <w:t xml:space="preserve"> </w:t>
      </w:r>
      <w:r>
        <w:rPr>
          <w:rFonts w:hint="eastAsia" w:ascii="Times New Roman" w:hAnsi="Times New Roman" w:eastAsia="宋体"/>
        </w:rPr>
        <w:t>50400-2016）的要求。</w:t>
      </w:r>
    </w:p>
    <w:p>
      <w:pPr>
        <w:spacing w:line="360" w:lineRule="auto"/>
        <w:ind w:firstLine="420" w:firstLineChars="200"/>
        <w:rPr>
          <w:rFonts w:ascii="Times New Roman" w:hAnsi="Times New Roman" w:eastAsia="宋体"/>
        </w:rPr>
      </w:pPr>
      <w:r>
        <w:rPr>
          <w:rFonts w:hint="eastAsia" w:ascii="Times New Roman" w:hAnsi="Times New Roman" w:eastAsia="宋体"/>
        </w:rPr>
        <w:t>该系统在功能上必须完全符合《绿色建筑评价标准》GB/T</w:t>
      </w:r>
      <w:r>
        <w:rPr>
          <w:rFonts w:ascii="Times New Roman" w:hAnsi="Times New Roman" w:eastAsia="宋体"/>
        </w:rPr>
        <w:t xml:space="preserve"> </w:t>
      </w:r>
      <w:r>
        <w:rPr>
          <w:rFonts w:hint="eastAsia" w:ascii="Times New Roman" w:hAnsi="Times New Roman" w:eastAsia="宋体"/>
        </w:rPr>
        <w:t>50378-2019</w:t>
      </w:r>
      <w:r>
        <w:rPr>
          <w:rFonts w:ascii="Times New Roman" w:hAnsi="Times New Roman" w:eastAsia="宋体"/>
        </w:rPr>
        <w:t xml:space="preserve"> </w:t>
      </w:r>
      <w:r>
        <w:rPr>
          <w:rFonts w:hint="eastAsia" w:ascii="Times New Roman" w:hAnsi="Times New Roman" w:eastAsia="宋体"/>
        </w:rPr>
        <w:t>中的节水要爱u；同时系统产品也必须负荷评价标准中对节地、节材、节能和环境保护，以及系统全生命周期综合性能要求标准。雨水收集过程中无需动力只靠雨水自身重力完成雨水收集处理，系统构成力求简单可靠；使用耐久性好、抗腐能力较强、能循环使用无污染的材质材料；选用成品，减少现场加工；系统在室外长期运行必须安全稳定、运行维护成本低、维护简单方便。具体要求如下：</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的初期弃流、沉淀过滤、储水池功能设备应利用室外地下空间来放置，不占用建筑容积率和绿地面积；同时保证雨水收集满后，不会影响雨水排水系统的排水功能，过多的雨水能够顺利溢流到市政雨水管网中，保证雨水排放安全；雨水收集处理设备及储水池应避免设置在建筑物室内或地下室，防止雨水排水受阻时对建筑物造成水浸。</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处理过程主要部件：管道、初期弃流单元装置、沉淀过滤单元装置、塑料检查通风井和埋地式塑料雨水箱单元必须选用抗腐较强、能循环使用的环保非金属材料，如PE或PP材质；为保障系统长期安全无障碍的运行，采用电熔连接；管道、初期弃流单元装置、沉淀过滤单元装置、塑料检查通风井和埋地式塑料雨水箱单元为同一厂家生产的进口优质纯料成品。</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在其运营全生命周期的综合性能符合节能、节水和节材的要求标准，雨水收集过程中的弃流、过滤沉淀等功能的物理过程，要力求安全、可靠、稳定、经济；雨水物理处理过程中无需设置泵阀或电控系统，只通过雨水自身重力来自动完成，物理处理过程稳定可靠无能耗；不会造成环境污染；系统长期在室外运行经济，维护简单方便费用低。</w:t>
      </w:r>
    </w:p>
    <w:p>
      <w:pPr>
        <w:pStyle w:val="3"/>
        <w:rPr>
          <w:rFonts w:ascii="Times New Roman" w:hAnsi="Times New Roman" w:eastAsia="宋体"/>
          <w:sz w:val="30"/>
          <w:szCs w:val="30"/>
        </w:rPr>
      </w:pPr>
      <w:bookmarkStart w:id="5" w:name="_Toc62030786"/>
      <w:r>
        <w:rPr>
          <w:rFonts w:hint="eastAsia" w:ascii="Times New Roman" w:hAnsi="Times New Roman" w:eastAsia="宋体"/>
          <w:sz w:val="30"/>
          <w:szCs w:val="30"/>
        </w:rPr>
        <w:t>5.</w:t>
      </w:r>
      <w:r>
        <w:rPr>
          <w:rFonts w:ascii="Times New Roman" w:hAnsi="Times New Roman" w:eastAsia="宋体"/>
          <w:sz w:val="30"/>
          <w:szCs w:val="30"/>
        </w:rPr>
        <w:t>3</w:t>
      </w:r>
      <w:r>
        <w:rPr>
          <w:rFonts w:hint="eastAsia" w:ascii="Times New Roman" w:hAnsi="Times New Roman" w:eastAsia="宋体"/>
          <w:sz w:val="30"/>
          <w:szCs w:val="30"/>
        </w:rPr>
        <w:t>安全措施</w:t>
      </w:r>
      <w:bookmarkEnd w:id="5"/>
    </w:p>
    <w:p>
      <w:pPr>
        <w:spacing w:line="360" w:lineRule="auto"/>
        <w:ind w:left="777" w:hanging="357"/>
        <w:rPr>
          <w:rFonts w:ascii="Times New Roman" w:hAnsi="Times New Roman" w:eastAsia="宋体"/>
        </w:rPr>
      </w:pPr>
      <w:r>
        <w:rPr>
          <w:rFonts w:hint="eastAsia" w:ascii="Times New Roman" w:hAnsi="Times New Roman" w:eastAsia="宋体"/>
        </w:rPr>
        <w:t>1）雨水回用系统的管网、雨水设备标注有明确“雨水回用”标志。</w:t>
      </w:r>
    </w:p>
    <w:p>
      <w:pPr>
        <w:spacing w:line="360" w:lineRule="auto"/>
        <w:ind w:left="777" w:hanging="357"/>
        <w:rPr>
          <w:rFonts w:ascii="Times New Roman" w:hAnsi="Times New Roman" w:eastAsia="宋体"/>
        </w:rPr>
      </w:pPr>
      <w:r>
        <w:rPr>
          <w:rFonts w:hint="eastAsia" w:ascii="Times New Roman" w:hAnsi="Times New Roman" w:eastAsia="宋体"/>
        </w:rPr>
        <w:t>2）采取防止误接、误用、误饮措施。取水口设带锁装置。管网不得与自来水管网直接连接。</w:t>
      </w:r>
    </w:p>
    <w:p>
      <w:pPr>
        <w:spacing w:line="360" w:lineRule="auto"/>
        <w:ind w:left="777" w:hanging="357"/>
        <w:rPr>
          <w:rFonts w:ascii="Times New Roman" w:hAnsi="Times New Roman" w:eastAsia="宋体"/>
        </w:rPr>
      </w:pPr>
      <w:r>
        <w:rPr>
          <w:rFonts w:hint="eastAsia" w:ascii="Times New Roman" w:hAnsi="Times New Roman" w:eastAsia="宋体"/>
        </w:rPr>
        <w:t>3）雨水管道外壁按有关标准的规定涂色和标志。</w:t>
      </w:r>
    </w:p>
    <w:p>
      <w:pPr>
        <w:pStyle w:val="3"/>
        <w:rPr>
          <w:rFonts w:ascii="Times New Roman" w:hAnsi="Times New Roman" w:eastAsia="宋体"/>
          <w:sz w:val="30"/>
          <w:szCs w:val="30"/>
        </w:rPr>
      </w:pPr>
      <w:bookmarkStart w:id="6" w:name="_Toc62030788"/>
      <w:r>
        <w:rPr>
          <w:rFonts w:hint="eastAsia" w:ascii="Times New Roman" w:hAnsi="Times New Roman" w:eastAsia="宋体"/>
          <w:sz w:val="30"/>
          <w:szCs w:val="30"/>
        </w:rPr>
        <w:t>6.1经济效益分析</w:t>
      </w:r>
      <w:bookmarkEnd w:id="6"/>
    </w:p>
    <w:p>
      <w:pPr>
        <w:spacing w:line="360" w:lineRule="auto"/>
        <w:ind w:firstLine="420" w:firstLineChars="200"/>
        <w:rPr>
          <w:rFonts w:eastAsia="宋体"/>
        </w:rPr>
      </w:pPr>
      <w:r>
        <w:rPr>
          <w:rFonts w:hint="eastAsia" w:eastAsia="宋体"/>
        </w:rPr>
        <w:t>社会效益是无形的经济效益，无法完全用具体的经济数字来衡量，本项目非传统水源（雨水）利用等节水技术实现的社会经济效益体现在：</w:t>
      </w:r>
    </w:p>
    <w:p>
      <w:pPr>
        <w:pStyle w:val="16"/>
        <w:numPr>
          <w:ilvl w:val="0"/>
          <w:numId w:val="3"/>
        </w:numPr>
        <w:spacing w:line="360" w:lineRule="auto"/>
        <w:ind w:firstLineChars="0"/>
        <w:rPr>
          <w:rFonts w:eastAsia="宋体"/>
        </w:rPr>
      </w:pPr>
      <w:r>
        <w:rPr>
          <w:rFonts w:hint="eastAsia" w:eastAsia="宋体"/>
        </w:rPr>
        <w:t>由于非传统水源利用工程的实施，项目区域内的防洪排涝能力得到大大加强，保障了项目投入运营使用后交通、水利、电力和办公使用的安全，减少了项目维护的人员和资金。</w:t>
      </w:r>
    </w:p>
    <w:p>
      <w:pPr>
        <w:pStyle w:val="16"/>
        <w:numPr>
          <w:ilvl w:val="0"/>
          <w:numId w:val="3"/>
        </w:numPr>
        <w:spacing w:line="360" w:lineRule="auto"/>
        <w:ind w:firstLineChars="0"/>
        <w:rPr>
          <w:rFonts w:eastAsia="宋体"/>
        </w:rPr>
      </w:pPr>
      <w:r>
        <w:rPr>
          <w:rFonts w:hint="eastAsia" w:eastAsia="宋体"/>
        </w:rPr>
        <w:t>非传统水源利用所形成的一个综合性系统，为业主创造了良好的居住生活环境，符合绿色建筑的宗旨。</w:t>
      </w:r>
    </w:p>
    <w:p>
      <w:pPr>
        <w:pStyle w:val="16"/>
        <w:numPr>
          <w:ilvl w:val="0"/>
          <w:numId w:val="3"/>
        </w:numPr>
        <w:spacing w:line="360" w:lineRule="auto"/>
        <w:ind w:firstLineChars="0"/>
        <w:rPr>
          <w:rFonts w:eastAsia="宋体"/>
        </w:rPr>
      </w:pPr>
      <w:r>
        <w:rPr>
          <w:rFonts w:hint="eastAsia" w:eastAsia="宋体"/>
        </w:rPr>
        <w:t>通过非传统水源（雨水）利用，减少自来水使用量，从而节约了水资源，节约水费。</w:t>
      </w:r>
    </w:p>
    <w:p>
      <w:pPr>
        <w:pStyle w:val="16"/>
        <w:numPr>
          <w:ilvl w:val="0"/>
          <w:numId w:val="3"/>
        </w:numPr>
        <w:spacing w:line="360" w:lineRule="auto"/>
        <w:ind w:firstLineChars="0"/>
        <w:rPr>
          <w:rFonts w:eastAsia="宋体"/>
        </w:rPr>
      </w:pPr>
      <w:r>
        <w:rPr>
          <w:rFonts w:hint="eastAsia" w:eastAsia="宋体"/>
        </w:rPr>
        <w:t>间接增加国家财政收入，这一部分收入即目前国家由于缺水造成的国家财政收入的损失。据了解，目前全国六百多个城市日平均缺水100万吨，造成国家财政收入年减少200亿元，相当于每缺水1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，要损失5.48元，即节约1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水意味着创造了5.48元的收益。</w:t>
      </w:r>
    </w:p>
    <w:p>
      <w:pPr>
        <w:pStyle w:val="16"/>
        <w:numPr>
          <w:ilvl w:val="0"/>
          <w:numId w:val="3"/>
        </w:numPr>
        <w:spacing w:line="360" w:lineRule="auto"/>
        <w:ind w:firstLineChars="0"/>
        <w:rPr>
          <w:rFonts w:eastAsia="宋体"/>
        </w:rPr>
      </w:pPr>
      <w:r>
        <w:rPr>
          <w:rFonts w:hint="eastAsia" w:eastAsia="宋体"/>
        </w:rPr>
        <w:t>消除污染而减少社会损失，据分析，为消除污染每投入1元可减少的环境资源损失是3元，即投入产出比为1:3。</w:t>
      </w:r>
    </w:p>
    <w:p>
      <w:pPr>
        <w:pStyle w:val="16"/>
        <w:numPr>
          <w:ilvl w:val="0"/>
          <w:numId w:val="3"/>
        </w:numPr>
        <w:spacing w:line="360" w:lineRule="auto"/>
        <w:ind w:firstLineChars="0"/>
        <w:rPr>
          <w:rFonts w:eastAsia="宋体"/>
        </w:rPr>
      </w:pPr>
      <w:r>
        <w:rPr>
          <w:rFonts w:hint="eastAsia" w:eastAsia="宋体"/>
        </w:rPr>
        <w:t>节省城市排水设施的建设和运行费用，由于实施雨水利用，部分分流了雨水径流，也在一定程度上减少了雨水管系的容量，可依此选用管径规格小的雨水管。参考雨水管径费用价格，管径每减少一个规格在综合费用上可节省百余元甚至几百元。从而减少雨水管系和泵站的投资及运行费用，产生相当大的经济效益。</w:t>
      </w:r>
    </w:p>
    <w:p>
      <w:pPr>
        <w:pStyle w:val="3"/>
        <w:rPr>
          <w:rFonts w:ascii="Times New Roman" w:hAnsi="Times New Roman" w:eastAsia="宋体"/>
          <w:sz w:val="30"/>
          <w:szCs w:val="30"/>
        </w:rPr>
      </w:pPr>
      <w:bookmarkStart w:id="7" w:name="_Toc62030789"/>
      <w:r>
        <w:rPr>
          <w:rFonts w:hint="eastAsia" w:ascii="Times New Roman" w:hAnsi="Times New Roman" w:eastAsia="宋体"/>
          <w:sz w:val="30"/>
          <w:szCs w:val="30"/>
        </w:rPr>
        <w:t>6.2环境效益分析</w:t>
      </w:r>
      <w:bookmarkEnd w:id="7"/>
    </w:p>
    <w:p>
      <w:pPr>
        <w:spacing w:line="360" w:lineRule="auto"/>
        <w:ind w:firstLine="420" w:firstLineChars="200"/>
        <w:rPr>
          <w:rFonts w:eastAsia="宋体"/>
        </w:rPr>
      </w:pPr>
      <w:r>
        <w:rPr>
          <w:rFonts w:hint="eastAsia" w:eastAsia="宋体"/>
        </w:rPr>
        <w:t>实施本项目非传统水源（雨水）综合利用措施，通过水资源得合理配置和调度，在水资源得可持续利用支持经济社会得可持续发展的同时，水环境质量将得到大大提高，改善和保护了生态环境条件，并由此而产生各种环境效益。</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极大地改善项目区域内及周边地表水环境质量及地下水水质，间接使区域内的湖体、河道水质将有所提高，对区域附近生态状况得到一定的修复。</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水环境质量的提高改善了生态环境条件，周边生物多样性将间接得到恢复，提高了区域的总体生态调节功能。</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通过实行雨、污水、废水分流，把非传统水源（雨水）再生利用后，减少了本项目区域内向市政雨水管排放的水量，一定程度上减轻了城市雨水管网的规模。</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项目区域内增加绿化地面的渗透性能，雨水径流会减少，对于减轻城市雨水管网的负荷及本项目的防洪排涝工作也能产生积极的影响。</w:t>
      </w:r>
    </w:p>
    <w:p>
      <w:pPr>
        <w:spacing w:line="360" w:lineRule="auto"/>
        <w:ind w:firstLine="420" w:firstLineChars="200"/>
        <w:rPr>
          <w:rFonts w:ascii="Times New Roman" w:hAnsi="Times New Roman" w:eastAsia="宋体"/>
        </w:rPr>
      </w:pPr>
    </w:p>
    <w:p>
      <w:pPr>
        <w:jc w:val="center"/>
      </w:pPr>
    </w:p>
    <w:p>
      <w:pPr>
        <w:spacing w:line="360" w:lineRule="auto"/>
        <w:ind w:firstLine="420" w:firstLineChars="200"/>
        <w:jc w:val="cente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PMLHEI + SimSun">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B70F0"/>
    <w:multiLevelType w:val="multilevel"/>
    <w:tmpl w:val="60DB70F0"/>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411A1D"/>
    <w:multiLevelType w:val="multilevel"/>
    <w:tmpl w:val="6A411A1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237E87"/>
    <w:multiLevelType w:val="multilevel"/>
    <w:tmpl w:val="6E237E8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A5D23E1"/>
    <w:multiLevelType w:val="multilevel"/>
    <w:tmpl w:val="7A5D23E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5OTAyZTI4ODcxODAzMTQxNDIwMjUyOGE3OTBjMDUifQ=="/>
  </w:docVars>
  <w:rsids>
    <w:rsidRoot w:val="00AB4278"/>
    <w:rsid w:val="001B6E91"/>
    <w:rsid w:val="00255A8C"/>
    <w:rsid w:val="002A0BA8"/>
    <w:rsid w:val="002D48BF"/>
    <w:rsid w:val="002F711C"/>
    <w:rsid w:val="003F7633"/>
    <w:rsid w:val="00457D5C"/>
    <w:rsid w:val="004B543D"/>
    <w:rsid w:val="00534D43"/>
    <w:rsid w:val="005C3FB2"/>
    <w:rsid w:val="005E4634"/>
    <w:rsid w:val="00692A8B"/>
    <w:rsid w:val="006C2A28"/>
    <w:rsid w:val="007058ED"/>
    <w:rsid w:val="00730DC6"/>
    <w:rsid w:val="00762D87"/>
    <w:rsid w:val="00857CB4"/>
    <w:rsid w:val="008746B4"/>
    <w:rsid w:val="00903C8D"/>
    <w:rsid w:val="00994AA0"/>
    <w:rsid w:val="00A2546F"/>
    <w:rsid w:val="00AB4278"/>
    <w:rsid w:val="00B51D18"/>
    <w:rsid w:val="00BB6877"/>
    <w:rsid w:val="00BF08EE"/>
    <w:rsid w:val="00C60AFD"/>
    <w:rsid w:val="00CA323B"/>
    <w:rsid w:val="00D65E13"/>
    <w:rsid w:val="00DC0E10"/>
    <w:rsid w:val="00E42D40"/>
    <w:rsid w:val="00F36763"/>
    <w:rsid w:val="7A6D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autoRedefine/>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15"/>
    <w:autoRedefine/>
    <w:qFormat/>
    <w:uiPriority w:val="1"/>
    <w:rPr>
      <w:rFonts w:ascii="宋体" w:hAnsi="宋体" w:eastAsia="宋体" w:cs="宋体"/>
      <w:sz w:val="24"/>
      <w:szCs w:val="24"/>
      <w:lang w:val="zh-CN" w:bidi="zh-CN"/>
    </w:rPr>
  </w:style>
  <w:style w:type="paragraph" w:styleId="6">
    <w:name w:val="toc 3"/>
    <w:basedOn w:val="1"/>
    <w:next w:val="1"/>
    <w:autoRedefine/>
    <w:unhideWhenUsed/>
    <w:uiPriority w:val="39"/>
    <w:pPr>
      <w:ind w:left="840" w:leftChars="400"/>
    </w:p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uiPriority w:val="99"/>
    <w:rPr>
      <w:color w:val="0563C1" w:themeColor="hyperlink"/>
      <w:u w:val="single"/>
      <w14:textFill>
        <w14:solidFill>
          <w14:schemeClr w14:val="hlink"/>
        </w14:solidFill>
      </w14:textFill>
    </w:rPr>
  </w:style>
  <w:style w:type="character" w:customStyle="1" w:styleId="14">
    <w:name w:val="标题 1 字符"/>
    <w:basedOn w:val="12"/>
    <w:link w:val="2"/>
    <w:autoRedefine/>
    <w:qFormat/>
    <w:uiPriority w:val="9"/>
    <w:rPr>
      <w:b/>
      <w:bCs/>
      <w:kern w:val="44"/>
      <w:sz w:val="44"/>
      <w:szCs w:val="44"/>
    </w:rPr>
  </w:style>
  <w:style w:type="character" w:customStyle="1" w:styleId="15">
    <w:name w:val="正文文本 字符"/>
    <w:basedOn w:val="12"/>
    <w:link w:val="5"/>
    <w:autoRedefine/>
    <w:qFormat/>
    <w:uiPriority w:val="1"/>
    <w:rPr>
      <w:rFonts w:ascii="宋体" w:hAnsi="宋体" w:eastAsia="宋体" w:cs="宋体"/>
      <w:sz w:val="24"/>
      <w:szCs w:val="24"/>
      <w:lang w:val="zh-CN" w:bidi="zh-CN"/>
    </w:rPr>
  </w:style>
  <w:style w:type="paragraph" w:styleId="16">
    <w:name w:val="List Paragraph"/>
    <w:basedOn w:val="1"/>
    <w:autoRedefine/>
    <w:qFormat/>
    <w:uiPriority w:val="34"/>
    <w:pPr>
      <w:ind w:firstLine="420" w:firstLineChars="200"/>
    </w:pPr>
  </w:style>
  <w:style w:type="character" w:customStyle="1" w:styleId="17">
    <w:name w:val="页眉 字符"/>
    <w:basedOn w:val="12"/>
    <w:link w:val="8"/>
    <w:autoRedefine/>
    <w:qFormat/>
    <w:uiPriority w:val="99"/>
    <w:rPr>
      <w:sz w:val="18"/>
      <w:szCs w:val="18"/>
    </w:rPr>
  </w:style>
  <w:style w:type="character" w:customStyle="1" w:styleId="18">
    <w:name w:val="页脚 字符"/>
    <w:basedOn w:val="12"/>
    <w:link w:val="7"/>
    <w:autoRedefine/>
    <w:qFormat/>
    <w:uiPriority w:val="99"/>
    <w:rPr>
      <w:sz w:val="18"/>
      <w:szCs w:val="18"/>
    </w:rPr>
  </w:style>
  <w:style w:type="character" w:customStyle="1" w:styleId="19">
    <w:name w:val="标题 3 字符"/>
    <w:basedOn w:val="12"/>
    <w:link w:val="3"/>
    <w:autoRedefine/>
    <w:qFormat/>
    <w:uiPriority w:val="9"/>
    <w:rPr>
      <w:b/>
      <w:bCs/>
      <w:sz w:val="32"/>
      <w:szCs w:val="32"/>
    </w:rPr>
  </w:style>
  <w:style w:type="character" w:customStyle="1" w:styleId="20">
    <w:name w:val="标题 4 字符"/>
    <w:basedOn w:val="12"/>
    <w:link w:val="4"/>
    <w:autoRedefine/>
    <w:qFormat/>
    <w:uiPriority w:val="9"/>
    <w:rPr>
      <w:rFonts w:asciiTheme="majorHAnsi" w:hAnsiTheme="majorHAnsi" w:eastAsiaTheme="majorEastAsia" w:cstheme="majorBidi"/>
      <w:b/>
      <w:bCs/>
      <w:sz w:val="28"/>
      <w:szCs w:val="28"/>
    </w:rPr>
  </w:style>
  <w:style w:type="character" w:styleId="21">
    <w:name w:val="Placeholder Text"/>
    <w:basedOn w:val="12"/>
    <w:autoRedefine/>
    <w:semiHidden/>
    <w:qFormat/>
    <w:uiPriority w:val="99"/>
    <w:rPr>
      <w:color w:val="808080"/>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414B-F6B3-4F68-B0FF-0B477D511C1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1086</Words>
  <Characters>6195</Characters>
  <Lines>51</Lines>
  <Paragraphs>14</Paragraphs>
  <TotalTime>10</TotalTime>
  <ScaleCrop>false</ScaleCrop>
  <LinksUpToDate>false</LinksUpToDate>
  <CharactersWithSpaces>7267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2020-12-14T06:23:00Z</dcterms:created>
  <dc:creator>Administrator</dc:creator>
  <cp:lastModifiedBy>Thorki</cp:lastModifiedBy>
  <dcterms:modified xsi:type="dcterms:W3CDTF">2024-02-23T17:35:21Z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EFBCEF3305054C5493D7DE40EBFD8026_12</vt:lpwstr>
  </property>
</Properties>
</file>