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03947" w14:textId="77777777" w:rsidR="00480627" w:rsidRPr="00480627" w:rsidRDefault="00480627" w:rsidP="00480627">
      <w:pPr>
        <w:widowControl/>
        <w:ind w:firstLine="405"/>
        <w:rPr>
          <w:rFonts w:ascii="Tahoma" w:eastAsia="宋体" w:hAnsi="Tahoma" w:cs="Tahoma"/>
          <w:kern w:val="0"/>
          <w:sz w:val="18"/>
          <w:szCs w:val="18"/>
          <w14:ligatures w14:val="none"/>
        </w:rPr>
      </w:pP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设计阶段利用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斯维尔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建筑软件绘制各楼层施工图，正确设定门窗、墙体高度信息，形成基础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BIM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三维模型，一次建模，数据自动传递，协同分析，体现了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BIM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设计的高效、数据一致的核心价值。</w:t>
      </w:r>
    </w:p>
    <w:p w14:paraId="734A3E24" w14:textId="60B16C18" w:rsidR="003E3FA1" w:rsidRDefault="00480627" w:rsidP="00480627">
      <w:pPr>
        <w:rPr>
          <w:rFonts w:ascii="宋体" w:eastAsia="宋体" w:hAnsi="宋体" w:cs="Tahoma"/>
          <w:kern w:val="0"/>
          <w:sz w:val="20"/>
          <w:szCs w:val="20"/>
          <w14:ligatures w14:val="none"/>
        </w:rPr>
      </w:pP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采用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斯维尔系列软件进行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节能设计、暖通冷热负荷计算、围护结构节能率计算、日照分析、室内外风环境分析、采光系数计算、</w:t>
      </w:r>
      <w:proofErr w:type="gramStart"/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窗地比</w:t>
      </w:r>
      <w:proofErr w:type="gramEnd"/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计算、声环境模拟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等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一系列的模拟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计算</w:t>
      </w:r>
      <w:r w:rsidRPr="00480627">
        <w:rPr>
          <w:rFonts w:ascii="Tahoma" w:eastAsia="宋体" w:hAnsi="Tahoma" w:cs="Tahoma"/>
          <w:kern w:val="0"/>
          <w:sz w:val="18"/>
          <w:szCs w:val="18"/>
          <w14:ligatures w14:val="none"/>
        </w:rPr>
        <w:t> </w:t>
      </w:r>
      <w:r w:rsidRPr="00480627">
        <w:rPr>
          <w:rFonts w:ascii="宋体" w:eastAsia="宋体" w:hAnsi="宋体" w:cs="Tahoma" w:hint="eastAsia"/>
          <w:kern w:val="0"/>
          <w:sz w:val="20"/>
          <w:szCs w:val="20"/>
          <w14:ligatures w14:val="none"/>
        </w:rPr>
        <w:t>极大的提高了效率，节省了时间。</w:t>
      </w:r>
    </w:p>
    <w:p w14:paraId="13B6EAA3" w14:textId="09503CC4" w:rsidR="00146AEF" w:rsidRPr="00146AEF" w:rsidRDefault="00146AEF" w:rsidP="00480627">
      <w:pPr>
        <w:rPr>
          <w:rFonts w:ascii="宋体" w:eastAsia="宋体" w:hAnsi="宋体" w:cs="Tahoma" w:hint="eastAsia"/>
          <w:b/>
          <w:bCs/>
          <w:kern w:val="0"/>
          <w:sz w:val="24"/>
          <w:szCs w:val="24"/>
          <w14:ligatures w14:val="none"/>
        </w:rPr>
      </w:pPr>
      <w:r w:rsidRPr="00146AEF">
        <w:rPr>
          <w:rFonts w:ascii="宋体" w:eastAsia="宋体" w:hAnsi="宋体" w:cs="Tahoma" w:hint="eastAsia"/>
          <w:b/>
          <w:bCs/>
          <w:kern w:val="0"/>
          <w:sz w:val="24"/>
          <w:szCs w:val="24"/>
          <w14:ligatures w14:val="none"/>
        </w:rPr>
        <w:t>斯维尔建模</w:t>
      </w:r>
    </w:p>
    <w:p w14:paraId="58F12B52" w14:textId="66C11AFF" w:rsidR="00146AEF" w:rsidRDefault="00146AEF" w:rsidP="00480627">
      <w:pPr>
        <w:rPr>
          <w:rFonts w:hint="eastAsia"/>
        </w:rPr>
      </w:pPr>
      <w:r>
        <w:rPr>
          <w:noProof/>
        </w:rPr>
        <w:drawing>
          <wp:inline distT="0" distB="0" distL="0" distR="0" wp14:anchorId="19358494" wp14:editId="725A78A1">
            <wp:extent cx="5274310" cy="3221990"/>
            <wp:effectExtent l="0" t="0" r="2540" b="0"/>
            <wp:docPr id="6490045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045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A1"/>
    <w:rsid w:val="00146AEF"/>
    <w:rsid w:val="003E3FA1"/>
    <w:rsid w:val="004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65227"/>
  <w15:chartTrackingRefBased/>
  <w15:docId w15:val="{DFD9905A-0FE7-49C6-A06F-20F7F193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6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佳书 杨</dc:creator>
  <cp:keywords/>
  <dc:description/>
  <cp:lastModifiedBy>佳书 杨</cp:lastModifiedBy>
  <cp:revision>2</cp:revision>
  <dcterms:created xsi:type="dcterms:W3CDTF">2024-02-28T05:28:00Z</dcterms:created>
  <dcterms:modified xsi:type="dcterms:W3CDTF">2024-02-28T07:26:00Z</dcterms:modified>
</cp:coreProperties>
</file>