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>柿景·窑望</w:t>
      </w:r>
      <w:r>
        <w:rPr>
          <w:u w:val="single"/>
          <w:lang w:eastAsia="zh-CN"/>
        </w:rPr>
        <w:t xml:space="preserve">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</w:t>
      </w:r>
      <w:r>
        <w:rPr>
          <w:rFonts w:hint="eastAsia"/>
          <w:spacing w:val="4"/>
          <w:u w:val="single"/>
          <w:lang w:val="en-US" w:eastAsia="zh-CN"/>
        </w:rPr>
        <w:t>110乡道</w:t>
      </w:r>
      <w:r>
        <w:rPr>
          <w:spacing w:val="4"/>
          <w:u w:val="single"/>
          <w:lang w:eastAsia="zh-CN"/>
        </w:rPr>
        <w:t xml:space="preserve">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1230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1100</w:t>
      </w:r>
      <w:r>
        <w:rPr>
          <w:spacing w:val="-1"/>
          <w:lang w:eastAsia="zh-CN"/>
        </w:rPr>
        <w:t>平方米，</w:t>
      </w:r>
      <w:r>
        <w:rPr>
          <w:lang w:eastAsia="zh-CN"/>
        </w:rPr>
        <w:t>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/>
          <w:lang w:val="en-US" w:eastAsia="zh-CN"/>
        </w:rPr>
        <w:t>1100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b w:val="0"/>
          <w:w w:val="95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100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>
      <w:pPr>
        <w:spacing w:line="240" w:lineRule="auto"/>
        <w:ind w:left="118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5419090" cy="3781425"/>
            <wp:effectExtent l="0" t="0" r="10160" b="9525"/>
            <wp:docPr id="4" name="图片 4" descr="b2b13ac3e0b523dc0dcea6c58a6c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b13ac3e0b523dc0dcea6c58a6c4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spacing w:line="311" w:lineRule="exact"/>
        <w:ind w:left="118"/>
        <w:rPr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bookmarkStart w:id="0" w:name="_GoBack"/>
      <w:bookmarkEnd w:id="0"/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czMzlkM2U1N2JhY2Q5NTc2ZWRhNzVmNWYxZjhmZjA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6CF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8</TotalTime>
  <ScaleCrop>false</ScaleCrop>
  <LinksUpToDate>false</LinksUpToDate>
  <CharactersWithSpaces>1447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X</cp:lastModifiedBy>
  <dcterms:modified xsi:type="dcterms:W3CDTF">2024-03-10T08:56:59Z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5855461246074C1EB69F0DDC9A33C74B_12</vt:lpwstr>
  </property>
</Properties>
</file>