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pPr>
        <w:spacing w:before="312" w:beforeLines="100" w:line="180" w:lineRule="atLeast"/>
        <w:rPr>
          <w:rFonts w:ascii="宋体" w:hAnsi="宋体"/>
          <w:bCs/>
          <w:sz w:val="44"/>
          <w:szCs w:val="44"/>
        </w:rPr>
      </w:pPr>
    </w:p>
    <w:p>
      <w:pPr>
        <w:spacing w:line="180" w:lineRule="exact"/>
        <w:jc w:val="center"/>
        <w:rPr>
          <w:rFonts w:ascii="宋体" w:hAnsi="宋体"/>
          <w:b/>
          <w:bCs/>
        </w:rPr>
      </w:pPr>
    </w:p>
    <w:p>
      <w:pPr>
        <w:spacing w:line="180" w:lineRule="exact"/>
        <w:jc w:val="center"/>
        <w:rPr>
          <w:rFonts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ascii="宋体" w:hAnsi="宋体"/>
              </w:rPr>
            </w:pPr>
            <w:bookmarkStart w:id="0" w:name="工程名称"/>
            <w:r>
              <w:t>新建项目</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ascii="宋体" w:hAnsi="宋体"/>
              </w:rPr>
            </w:pPr>
          </w:p>
        </w:tc>
      </w:tr>
    </w:tbl>
    <w:p>
      <w:pPr>
        <w:rPr>
          <w:rFonts w:ascii="宋体" w:hAnsi="宋体"/>
          <w:sz w:val="18"/>
          <w:szCs w:val="20"/>
        </w:rPr>
      </w:pPr>
    </w:p>
    <w:p>
      <w:pPr>
        <w:rPr>
          <w:rFonts w:ascii="宋体" w:hAnsi="宋体"/>
          <w:sz w:val="18"/>
          <w:szCs w:val="20"/>
        </w:rPr>
      </w:pPr>
    </w:p>
    <w:p>
      <w:pPr>
        <w:jc w:val="center"/>
        <w:rPr>
          <w:rFonts w:ascii="宋体" w:hAnsi="宋体"/>
        </w:rPr>
      </w:pPr>
      <w:bookmarkStart w:id="4"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4"/>
    <w:p>
      <w:pPr>
        <w:jc w:val="center"/>
        <w:rPr>
          <w:rFonts w:ascii="宋体" w:hAnsi="宋体"/>
          <w:b/>
          <w:bCs/>
          <w:sz w:val="30"/>
          <w:szCs w:val="32"/>
          <w:lang w:val="en-GB"/>
        </w:rPr>
      </w:pPr>
    </w:p>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bookmarkStart w:id="5" w:name="软件全称"/>
            <w:r>
              <w:rPr>
                <w:rFonts w:hint="eastAsia"/>
              </w:rPr>
              <w:t>建筑声环境SEDU2024</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bookmarkStart w:id="6" w:name="软件版本"/>
            <w:r>
              <w:rPr>
                <w:rFonts w:hint="eastAsia"/>
              </w:rPr>
              <w:t>20231010</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7" w:name="加密锁号"/>
            <w:r>
              <w:t>SP110C85A1</w:t>
            </w:r>
            <w:bookmarkEnd w:id="7"/>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_Toc31283 </w:instrText>
      </w:r>
      <w:r>
        <w:rPr>
          <w:rFonts w:ascii="宋体" w:hAnsi="宋体"/>
          <w:caps/>
        </w:rPr>
        <w:fldChar w:fldCharType="separate"/>
      </w:r>
      <w:r>
        <w:rPr>
          <w:rFonts w:hint="eastAsia"/>
          <w:szCs w:val="28"/>
        </w:rPr>
        <w:t>1</w:t>
      </w:r>
      <w:r>
        <w:rPr>
          <w:szCs w:val="28"/>
        </w:rPr>
        <w:t>.</w:t>
      </w:r>
      <w:r>
        <w:rPr>
          <w:rFonts w:hint="eastAsia" w:ascii="Times New Roman" w:hAnsi="Times New Roman"/>
          <w:szCs w:val="28"/>
        </w:rPr>
        <w:t>项目概况</w:t>
      </w:r>
      <w:r>
        <w:tab/>
      </w:r>
      <w:r>
        <w:fldChar w:fldCharType="begin"/>
      </w:r>
      <w:r>
        <w:instrText xml:space="preserve"> PAGEREF _Toc31283 \h </w:instrText>
      </w:r>
      <w:r>
        <w:fldChar w:fldCharType="separate"/>
      </w:r>
      <w:r>
        <w:t>1</w:t>
      </w:r>
      <w:r>
        <w:fldChar w:fldCharType="end"/>
      </w:r>
      <w:r>
        <w:rPr>
          <w:rFonts w:ascii="宋体" w:hAnsi="宋体"/>
          <w:caps/>
        </w:rPr>
        <w:fldChar w:fldCharType="end"/>
      </w:r>
    </w:p>
    <w:p>
      <w:pPr>
        <w:pStyle w:val="12"/>
        <w:tabs>
          <w:tab w:val="right" w:leader="dot" w:pos="9070"/>
          <w:tab w:val="clear" w:pos="180"/>
          <w:tab w:val="clear" w:pos="9360"/>
        </w:tabs>
      </w:pPr>
      <w:r>
        <w:fldChar w:fldCharType="begin"/>
      </w:r>
      <w:r>
        <w:instrText xml:space="preserve"> HYPERLINK \l _Toc24910 </w:instrText>
      </w:r>
      <w:r>
        <w:fldChar w:fldCharType="separate"/>
      </w:r>
      <w:r>
        <w:rPr>
          <w:rFonts w:hint="eastAsia"/>
          <w:szCs w:val="28"/>
        </w:rPr>
        <w:t>2.评价</w:t>
      </w:r>
      <w:r>
        <w:rPr>
          <w:szCs w:val="28"/>
        </w:rPr>
        <w:t>标准</w:t>
      </w:r>
      <w:r>
        <w:tab/>
      </w:r>
      <w:r>
        <w:fldChar w:fldCharType="begin"/>
      </w:r>
      <w:r>
        <w:instrText xml:space="preserve"> PAGEREF _Toc24910 \h </w:instrText>
      </w:r>
      <w:r>
        <w:fldChar w:fldCharType="separate"/>
      </w:r>
      <w:r>
        <w:t>1</w:t>
      </w:r>
      <w:r>
        <w:fldChar w:fldCharType="end"/>
      </w:r>
      <w:r>
        <w:fldChar w:fldCharType="end"/>
      </w:r>
    </w:p>
    <w:p>
      <w:pPr>
        <w:pStyle w:val="13"/>
        <w:tabs>
          <w:tab w:val="right" w:leader="dot" w:pos="9070"/>
          <w:tab w:val="clear" w:pos="540"/>
          <w:tab w:val="clear" w:pos="9360"/>
        </w:tabs>
      </w:pPr>
      <w:r>
        <w:fldChar w:fldCharType="begin"/>
      </w:r>
      <w:r>
        <w:instrText xml:space="preserve"> HYPERLINK \l _Toc7668 </w:instrText>
      </w:r>
      <w:r>
        <w:fldChar w:fldCharType="separate"/>
      </w:r>
      <w:r>
        <w:rPr>
          <w:rFonts w:hint="eastAsia"/>
          <w:szCs w:val="24"/>
        </w:rPr>
        <w:t>2.1评价</w:t>
      </w:r>
      <w:r>
        <w:rPr>
          <w:szCs w:val="24"/>
        </w:rPr>
        <w:t>依据</w:t>
      </w:r>
      <w:r>
        <w:tab/>
      </w:r>
      <w:r>
        <w:fldChar w:fldCharType="begin"/>
      </w:r>
      <w:r>
        <w:instrText xml:space="preserve"> PAGEREF _Toc7668 \h </w:instrText>
      </w:r>
      <w:r>
        <w:fldChar w:fldCharType="separate"/>
      </w:r>
      <w:r>
        <w:t>1</w:t>
      </w:r>
      <w:r>
        <w:fldChar w:fldCharType="end"/>
      </w:r>
      <w:r>
        <w:fldChar w:fldCharType="end"/>
      </w:r>
    </w:p>
    <w:p>
      <w:pPr>
        <w:pStyle w:val="13"/>
        <w:tabs>
          <w:tab w:val="right" w:leader="dot" w:pos="9070"/>
          <w:tab w:val="clear" w:pos="540"/>
          <w:tab w:val="clear" w:pos="9360"/>
        </w:tabs>
      </w:pPr>
      <w:r>
        <w:fldChar w:fldCharType="begin"/>
      </w:r>
      <w:r>
        <w:instrText xml:space="preserve"> HYPERLINK \l _Toc29198 </w:instrText>
      </w:r>
      <w:r>
        <w:fldChar w:fldCharType="separate"/>
      </w:r>
      <w:r>
        <w:rPr>
          <w:rFonts w:hint="eastAsia"/>
          <w:szCs w:val="24"/>
        </w:rPr>
        <w:t>2.2标准</w:t>
      </w:r>
      <w:r>
        <w:rPr>
          <w:szCs w:val="24"/>
        </w:rPr>
        <w:t>要求</w:t>
      </w:r>
      <w:r>
        <w:tab/>
      </w:r>
      <w:r>
        <w:fldChar w:fldCharType="begin"/>
      </w:r>
      <w:r>
        <w:instrText xml:space="preserve"> PAGEREF _Toc29198 \h </w:instrText>
      </w:r>
      <w:r>
        <w:fldChar w:fldCharType="separate"/>
      </w:r>
      <w:r>
        <w:t>1</w:t>
      </w:r>
      <w:r>
        <w:fldChar w:fldCharType="end"/>
      </w:r>
      <w:r>
        <w:fldChar w:fldCharType="end"/>
      </w:r>
    </w:p>
    <w:p>
      <w:pPr>
        <w:pStyle w:val="12"/>
        <w:tabs>
          <w:tab w:val="right" w:leader="dot" w:pos="9070"/>
          <w:tab w:val="clear" w:pos="180"/>
          <w:tab w:val="clear" w:pos="9360"/>
        </w:tabs>
      </w:pPr>
      <w:r>
        <w:fldChar w:fldCharType="begin"/>
      </w:r>
      <w:r>
        <w:instrText xml:space="preserve"> HYPERLINK \l _Toc30674 </w:instrText>
      </w:r>
      <w:r>
        <w:fldChar w:fldCharType="separate"/>
      </w:r>
      <w:r>
        <w:rPr>
          <w:rFonts w:hint="eastAsia"/>
          <w:szCs w:val="28"/>
        </w:rPr>
        <w:t>3.模拟</w:t>
      </w:r>
      <w:r>
        <w:rPr>
          <w:szCs w:val="28"/>
        </w:rPr>
        <w:t>方法</w:t>
      </w:r>
      <w:r>
        <w:tab/>
      </w:r>
      <w:r>
        <w:fldChar w:fldCharType="begin"/>
      </w:r>
      <w:r>
        <w:instrText xml:space="preserve"> PAGEREF _Toc30674 \h </w:instrText>
      </w:r>
      <w:r>
        <w:fldChar w:fldCharType="separate"/>
      </w:r>
      <w:r>
        <w:t>2</w:t>
      </w:r>
      <w:r>
        <w:fldChar w:fldCharType="end"/>
      </w:r>
      <w:r>
        <w:fldChar w:fldCharType="end"/>
      </w:r>
    </w:p>
    <w:p>
      <w:pPr>
        <w:pStyle w:val="13"/>
        <w:tabs>
          <w:tab w:val="right" w:leader="dot" w:pos="9070"/>
          <w:tab w:val="clear" w:pos="540"/>
          <w:tab w:val="clear" w:pos="9360"/>
        </w:tabs>
      </w:pPr>
      <w:r>
        <w:fldChar w:fldCharType="begin"/>
      </w:r>
      <w:r>
        <w:instrText xml:space="preserve"> HYPERLINK \l _Toc16322 </w:instrText>
      </w:r>
      <w:r>
        <w:fldChar w:fldCharType="separate"/>
      </w:r>
      <w:r>
        <w:rPr>
          <w:rFonts w:hint="eastAsia"/>
          <w:szCs w:val="24"/>
        </w:rPr>
        <w:t>3.1模拟软件</w:t>
      </w:r>
      <w:r>
        <w:tab/>
      </w:r>
      <w:r>
        <w:fldChar w:fldCharType="begin"/>
      </w:r>
      <w:r>
        <w:instrText xml:space="preserve"> PAGEREF _Toc16322 \h </w:instrText>
      </w:r>
      <w:r>
        <w:fldChar w:fldCharType="separate"/>
      </w:r>
      <w:r>
        <w:t>2</w:t>
      </w:r>
      <w:r>
        <w:fldChar w:fldCharType="end"/>
      </w:r>
      <w:r>
        <w:fldChar w:fldCharType="end"/>
      </w:r>
    </w:p>
    <w:p>
      <w:pPr>
        <w:pStyle w:val="13"/>
        <w:tabs>
          <w:tab w:val="right" w:leader="dot" w:pos="9070"/>
          <w:tab w:val="clear" w:pos="540"/>
          <w:tab w:val="clear" w:pos="9360"/>
        </w:tabs>
      </w:pPr>
      <w:r>
        <w:fldChar w:fldCharType="begin"/>
      </w:r>
      <w:r>
        <w:instrText xml:space="preserve"> HYPERLINK \l _Toc32234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_Toc32234 \h </w:instrText>
      </w:r>
      <w:r>
        <w:fldChar w:fldCharType="separate"/>
      </w:r>
      <w:r>
        <w:t>2</w:t>
      </w:r>
      <w:r>
        <w:fldChar w:fldCharType="end"/>
      </w:r>
      <w:r>
        <w:fldChar w:fldCharType="end"/>
      </w:r>
    </w:p>
    <w:p>
      <w:pPr>
        <w:pStyle w:val="13"/>
        <w:tabs>
          <w:tab w:val="right" w:leader="dot" w:pos="9070"/>
          <w:tab w:val="clear" w:pos="540"/>
          <w:tab w:val="clear" w:pos="9360"/>
        </w:tabs>
      </w:pPr>
      <w:r>
        <w:fldChar w:fldCharType="begin"/>
      </w:r>
      <w:r>
        <w:instrText xml:space="preserve"> HYPERLINK \l _Toc23670 </w:instrText>
      </w:r>
      <w:r>
        <w:fldChar w:fldCharType="separate"/>
      </w:r>
      <w:r>
        <w:rPr>
          <w:rFonts w:hint="eastAsia"/>
          <w:szCs w:val="24"/>
        </w:rPr>
        <w:t>3.</w:t>
      </w:r>
      <w:r>
        <w:rPr>
          <w:szCs w:val="24"/>
        </w:rPr>
        <w:t>3</w:t>
      </w:r>
      <w:r>
        <w:rPr>
          <w:rFonts w:hint="eastAsia"/>
          <w:szCs w:val="24"/>
        </w:rPr>
        <w:t>计算条件</w:t>
      </w:r>
      <w:r>
        <w:tab/>
      </w:r>
      <w:r>
        <w:fldChar w:fldCharType="begin"/>
      </w:r>
      <w:r>
        <w:instrText xml:space="preserve"> PAGEREF _Toc23670 \h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_Toc9468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_Toc9468 \h </w:instrText>
      </w:r>
      <w:r>
        <w:fldChar w:fldCharType="separate"/>
      </w:r>
      <w:r>
        <w:t>4</w:t>
      </w:r>
      <w:r>
        <w:fldChar w:fldCharType="end"/>
      </w:r>
      <w:r>
        <w:fldChar w:fldCharType="end"/>
      </w:r>
      <w:bookmarkStart w:id="55" w:name="_GoBack"/>
      <w:bookmarkEnd w:id="55"/>
    </w:p>
    <w:p>
      <w:pPr>
        <w:pStyle w:val="12"/>
        <w:tabs>
          <w:tab w:val="right" w:leader="dot" w:pos="9070"/>
          <w:tab w:val="clear" w:pos="180"/>
          <w:tab w:val="clear" w:pos="9360"/>
        </w:tabs>
      </w:pPr>
      <w:r>
        <w:fldChar w:fldCharType="begin"/>
      </w:r>
      <w:r>
        <w:instrText xml:space="preserve"> HYPERLINK \l _Toc20828 </w:instrText>
      </w:r>
      <w:r>
        <w:fldChar w:fldCharType="separate"/>
      </w:r>
      <w:r>
        <w:rPr>
          <w:rFonts w:hint="eastAsia"/>
          <w:szCs w:val="28"/>
        </w:rPr>
        <w:t>4.模拟结果</w:t>
      </w:r>
      <w:r>
        <w:rPr>
          <w:szCs w:val="28"/>
        </w:rPr>
        <w:t>及分析</w:t>
      </w:r>
      <w:r>
        <w:tab/>
      </w:r>
      <w:r>
        <w:fldChar w:fldCharType="begin"/>
      </w:r>
      <w:r>
        <w:instrText xml:space="preserve"> PAGEREF _Toc20828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_Toc25365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_Toc25365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_Toc12112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_Toc12112 \h </w:instrText>
      </w:r>
      <w:r>
        <w:fldChar w:fldCharType="separate"/>
      </w:r>
      <w:r>
        <w:t>8</w:t>
      </w:r>
      <w:r>
        <w:fldChar w:fldCharType="end"/>
      </w:r>
      <w:r>
        <w:fldChar w:fldCharType="end"/>
      </w:r>
    </w:p>
    <w:p>
      <w:pPr>
        <w:pStyle w:val="12"/>
        <w:tabs>
          <w:tab w:val="right" w:leader="dot" w:pos="9070"/>
          <w:tab w:val="clear" w:pos="180"/>
          <w:tab w:val="clear" w:pos="9360"/>
        </w:tabs>
      </w:pPr>
      <w:r>
        <w:fldChar w:fldCharType="begin"/>
      </w:r>
      <w:r>
        <w:instrText xml:space="preserve"> HYPERLINK \l _Toc13468 </w:instrText>
      </w:r>
      <w:r>
        <w:fldChar w:fldCharType="separate"/>
      </w:r>
      <w:r>
        <w:rPr>
          <w:rFonts w:hint="eastAsia"/>
          <w:szCs w:val="28"/>
        </w:rPr>
        <w:t>5.结论</w:t>
      </w:r>
      <w:r>
        <w:tab/>
      </w:r>
      <w:r>
        <w:fldChar w:fldCharType="begin"/>
      </w:r>
      <w:r>
        <w:instrText xml:space="preserve"> PAGEREF _Toc13468 \h </w:instrText>
      </w:r>
      <w:r>
        <w:fldChar w:fldCharType="separate"/>
      </w:r>
      <w:r>
        <w:t>11</w:t>
      </w:r>
      <w:r>
        <w:fldChar w:fldCharType="end"/>
      </w:r>
      <w:r>
        <w:fldChar w:fldCharType="end"/>
      </w:r>
    </w:p>
    <w:p>
      <w:pPr>
        <w:pStyle w:val="12"/>
      </w:pPr>
      <w:r>
        <w:fldChar w:fldCharType="end"/>
      </w:r>
      <w:bookmarkEnd w:id="8"/>
    </w:p>
    <w:p>
      <w:pPr>
        <w:jc w:val="right"/>
      </w:pPr>
    </w:p>
    <w:p/>
    <w:p>
      <w:pPr>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p>
    <w:p>
      <w:pPr>
        <w:pStyle w:val="2"/>
        <w:rPr>
          <w:rFonts w:ascii="Times New Roman" w:hAnsi="Times New Roman"/>
          <w:sz w:val="28"/>
          <w:szCs w:val="28"/>
        </w:rPr>
      </w:pPr>
      <w:bookmarkStart w:id="9" w:name="_Toc479326717"/>
      <w:bookmarkStart w:id="10" w:name="_Toc31283"/>
      <w:r>
        <w:rPr>
          <w:rFonts w:hint="eastAsia"/>
          <w:sz w:val="28"/>
          <w:szCs w:val="28"/>
        </w:rPr>
        <w:t>1</w:t>
      </w:r>
      <w:r>
        <w:rPr>
          <w:sz w:val="28"/>
          <w:szCs w:val="28"/>
        </w:rPr>
        <w:t>.</w:t>
      </w:r>
      <w:r>
        <w:rPr>
          <w:rFonts w:hint="eastAsia" w:ascii="Times New Roman" w:hAnsi="Times New Roman"/>
          <w:sz w:val="28"/>
          <w:szCs w:val="28"/>
        </w:rPr>
        <w:t>项目概况</w:t>
      </w:r>
      <w:bookmarkEnd w:id="9"/>
      <w:bookmarkEnd w:id="10"/>
    </w:p>
    <w:p>
      <w:r>
        <w:rPr>
          <w:rFonts w:hint="eastAsia"/>
        </w:rPr>
        <w:t>本项目参与计算的噪声敏感参评建筑物如下表所示：</w:t>
      </w:r>
    </w:p>
    <w:p>
      <w:pPr>
        <w:widowControl/>
        <w:spacing w:before="240"/>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6"/>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名称</w:t>
            </w:r>
          </w:p>
        </w:tc>
        <w:tc>
          <w:tcPr>
            <w:shd w:val="clear" w:color="auto" w:fill="E6E6E6"/>
            <w:vAlign w:val="center"/>
          </w:tcPr>
          <w:p>
            <w:pPr>
              <w:jc w:val="center"/>
              <w:rPr>
                <w:sz w:val="21"/>
                <w:szCs w:val="21"/>
              </w:rPr>
            </w:pPr>
            <w:r>
              <w:rPr>
                <w:sz w:val="21"/>
                <w:szCs w:val="21"/>
              </w:rPr>
              <w:t>建筑高度(米)</w:t>
            </w:r>
          </w:p>
        </w:tc>
        <w:tc>
          <w:tcPr>
            <w:shd w:val="clear" w:color="auto" w:fill="E6E6E6"/>
            <w:vAlign w:val="center"/>
          </w:tcPr>
          <w:p>
            <w:pPr>
              <w:jc w:val="center"/>
              <w:rPr>
                <w:sz w:val="21"/>
                <w:szCs w:val="21"/>
              </w:rPr>
            </w:pPr>
            <w:r>
              <w:rPr>
                <w:sz w:val="21"/>
                <w:szCs w:val="21"/>
              </w:rPr>
              <w:t>底标高(米)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rPr>
                <w:sz w:val="21"/>
                <w:szCs w:val="21"/>
              </w:rPr>
            </w:pPr>
            <w:r>
              <w:rPr>
                <w:sz w:val="21"/>
                <w:szCs w:val="21"/>
              </w:rPr>
              <w:t>建筑一</w:t>
            </w:r>
          </w:p>
        </w:tc>
        <w:tc>
          <w:tcPr>
            <w:vAlign w:val="center"/>
          </w:tcPr>
          <w:p>
            <w:pPr>
              <w:jc w:val="center"/>
              <w:rPr>
                <w:sz w:val="21"/>
                <w:szCs w:val="21"/>
              </w:rPr>
            </w:pPr>
            <w:r>
              <w:rPr>
                <w:sz w:val="21"/>
                <w:szCs w:val="21"/>
              </w:rPr>
              <w:t>7.32</w:t>
            </w:r>
          </w:p>
        </w:tc>
        <w:tc>
          <w:tcPr>
            <w:vAlign w:val="center"/>
          </w:tcPr>
          <w:p>
            <w:pPr>
              <w:jc w:val="center"/>
              <w:rPr>
                <w:sz w:val="21"/>
                <w:szCs w:val="21"/>
              </w:rPr>
            </w:pPr>
            <w:r>
              <w:rPr>
                <w:sz w:val="21"/>
                <w:szCs w:val="21"/>
              </w:rP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rPr>
                <w:sz w:val="21"/>
                <w:szCs w:val="21"/>
              </w:rPr>
            </w:pPr>
            <w:r>
              <w:rPr>
                <w:sz w:val="21"/>
                <w:szCs w:val="21"/>
              </w:rPr>
              <w:t>建筑二</w:t>
            </w:r>
          </w:p>
        </w:tc>
        <w:tc>
          <w:tcPr>
            <w:vAlign w:val="center"/>
          </w:tcPr>
          <w:p>
            <w:pPr>
              <w:jc w:val="center"/>
              <w:rPr>
                <w:sz w:val="21"/>
                <w:szCs w:val="21"/>
              </w:rPr>
            </w:pPr>
            <w:r>
              <w:rPr>
                <w:sz w:val="21"/>
                <w:szCs w:val="21"/>
              </w:rPr>
              <w:t>8.26</w:t>
            </w:r>
          </w:p>
        </w:tc>
        <w:tc>
          <w:tcPr>
            <w:vAlign w:val="center"/>
          </w:tcPr>
          <w:p>
            <w:pPr>
              <w:jc w:val="center"/>
              <w:rPr>
                <w:sz w:val="21"/>
                <w:szCs w:val="21"/>
              </w:rPr>
            </w:pPr>
            <w:r>
              <w:rPr>
                <w:sz w:val="21"/>
                <w:szCs w:val="21"/>
              </w:rPr>
              <w:t>0.00</w:t>
            </w:r>
          </w:p>
        </w:tc>
      </w:tr>
    </w:tbl>
    <w:p>
      <w:pPr>
        <w:widowControl/>
        <w:jc w:val="center"/>
        <w:rPr>
          <w:rFonts w:ascii="宋体" w:hAnsi="宋体"/>
        </w:rPr>
      </w:pPr>
      <w:bookmarkStart w:id="11" w:name="参评建筑信息表"/>
      <w:bookmarkEnd w:id="11"/>
    </w:p>
    <w:p>
      <w:pPr>
        <w:pStyle w:val="2"/>
        <w:rPr>
          <w:sz w:val="28"/>
          <w:szCs w:val="28"/>
        </w:rPr>
      </w:pPr>
      <w:bookmarkStart w:id="12" w:name="_Toc479326718"/>
      <w:bookmarkStart w:id="13" w:name="_Toc24910"/>
      <w:r>
        <w:rPr>
          <w:rFonts w:hint="eastAsia"/>
          <w:sz w:val="28"/>
          <w:szCs w:val="28"/>
        </w:rPr>
        <w:t>2.评价</w:t>
      </w:r>
      <w:r>
        <w:rPr>
          <w:sz w:val="28"/>
          <w:szCs w:val="28"/>
        </w:rPr>
        <w:t>标准</w:t>
      </w:r>
      <w:bookmarkEnd w:id="12"/>
      <w:bookmarkEnd w:id="13"/>
    </w:p>
    <w:p>
      <w:pPr>
        <w:pStyle w:val="3"/>
        <w:rPr>
          <w:sz w:val="24"/>
          <w:szCs w:val="24"/>
        </w:rPr>
      </w:pPr>
      <w:bookmarkStart w:id="14" w:name="_Toc479326719"/>
      <w:bookmarkStart w:id="15" w:name="_Toc7668"/>
      <w:r>
        <w:rPr>
          <w:rFonts w:hint="eastAsia"/>
          <w:sz w:val="24"/>
          <w:szCs w:val="24"/>
        </w:rPr>
        <w:t>2.1评价</w:t>
      </w:r>
      <w:r>
        <w:rPr>
          <w:sz w:val="24"/>
          <w:szCs w:val="24"/>
        </w:rPr>
        <w:t>依据</w:t>
      </w:r>
      <w:bookmarkEnd w:id="14"/>
      <w:bookmarkEnd w:id="15"/>
    </w:p>
    <w:p>
      <w:pPr>
        <w:pStyle w:val="33"/>
        <w:numPr>
          <w:ilvl w:val="0"/>
          <w:numId w:val="1"/>
        </w:numPr>
        <w:spacing w:line="276" w:lineRule="auto"/>
        <w:ind w:firstLineChars="0"/>
        <w:rPr>
          <w:rFonts w:ascii="微软雅黑" w:hAnsi="微软雅黑"/>
          <w:sz w:val="21"/>
          <w:szCs w:val="21"/>
        </w:rPr>
      </w:pPr>
      <w:bookmarkStart w:id="16" w:name="_Hlk13924517"/>
      <w:bookmarkStart w:id="17"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6"/>
      <w:r>
        <w:rPr>
          <w:rFonts w:ascii="微软雅黑" w:hAnsi="微软雅黑"/>
          <w:sz w:val="21"/>
          <w:szCs w:val="21"/>
        </w:rPr>
        <w:t xml:space="preserve"> </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rPr>
          <w:sz w:val="24"/>
          <w:szCs w:val="24"/>
        </w:rPr>
      </w:pPr>
      <w:bookmarkStart w:id="18" w:name="_Toc29198"/>
      <w:r>
        <w:rPr>
          <w:rFonts w:hint="eastAsia"/>
          <w:sz w:val="24"/>
          <w:szCs w:val="24"/>
        </w:rPr>
        <w:t>2.2标准</w:t>
      </w:r>
      <w:r>
        <w:rPr>
          <w:sz w:val="24"/>
          <w:szCs w:val="24"/>
        </w:rPr>
        <w:t>要求</w:t>
      </w:r>
      <w:bookmarkEnd w:id="17"/>
      <w:bookmarkEnd w:id="18"/>
    </w:p>
    <w:p>
      <w:pPr>
        <w:pStyle w:val="25"/>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pPr>
        <w:ind w:left="420" w:leftChars="200"/>
      </w:pPr>
      <w:r>
        <w:rPr>
          <w:rFonts w:hint="eastAsia"/>
        </w:rPr>
        <w:t>8.2.6场地内的环境噪声优于现行国家标准《声环境质量标准》GB</w:t>
      </w:r>
      <w:r>
        <w:t xml:space="preserve"> </w:t>
      </w:r>
      <w:r>
        <w:rPr>
          <w:rFonts w:hint="eastAsia"/>
        </w:rPr>
        <w:t>3096的要求，评价总分值为10分，并按下列规则评分：</w:t>
      </w:r>
    </w:p>
    <w:p>
      <w:pPr>
        <w:ind w:left="420" w:leftChars="200"/>
      </w:pPr>
      <w:r>
        <w:rPr>
          <w:rFonts w:hint="eastAsia"/>
        </w:rPr>
        <w:t>1.</w:t>
      </w:r>
      <w:r>
        <w:t xml:space="preserve"> </w:t>
      </w:r>
      <w:r>
        <w:rPr>
          <w:rFonts w:hint="eastAsia"/>
        </w:rPr>
        <w:t>环境噪声值大于2类声环境功能区标准限值，且小于或等于3类声环境功能区标准限值，得5分。</w:t>
      </w:r>
    </w:p>
    <w:p>
      <w:pPr>
        <w:ind w:left="420" w:leftChars="200"/>
      </w:pPr>
      <w:r>
        <w:rPr>
          <w:rFonts w:hint="eastAsia"/>
        </w:rPr>
        <w:t>2.</w:t>
      </w:r>
      <w:r>
        <w:t xml:space="preserve"> </w:t>
      </w:r>
      <w:r>
        <w:rPr>
          <w:rFonts w:hint="eastAsia"/>
        </w:rPr>
        <w:t>环境噪声值小于或等于2类声环境功能区标准限值，得10分。</w:t>
      </w:r>
    </w:p>
    <w:p>
      <w:pPr>
        <w:pStyle w:val="25"/>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jc w:val="center"/>
              <w:rPr>
                <w:szCs w:val="24"/>
              </w:rPr>
            </w:pPr>
            <w:r>
              <w:rPr>
                <w:rFonts w:hint="eastAsia"/>
                <w:szCs w:val="24"/>
              </w:rPr>
              <w:t>声环境</w:t>
            </w:r>
          </w:p>
          <w:p>
            <w:pPr>
              <w:jc w:val="center"/>
              <w:rPr>
                <w:szCs w:val="24"/>
              </w:rPr>
            </w:pPr>
            <w:r>
              <w:rPr>
                <w:rFonts w:hint="eastAsia"/>
                <w:szCs w:val="24"/>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jc w:val="center"/>
              <w:rPr>
                <w:szCs w:val="24"/>
              </w:rPr>
            </w:pPr>
            <w:r>
              <w:rPr>
                <w:rFonts w:hint="eastAsia"/>
                <w:szCs w:val="24"/>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jc w:val="center"/>
              <w:rPr>
                <w:szCs w:val="24"/>
              </w:rPr>
            </w:pPr>
            <w:r>
              <w:rPr>
                <w:rFonts w:hint="eastAsia"/>
                <w:szCs w:val="24"/>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szCs w:val="24"/>
              </w:rPr>
            </w:pPr>
          </w:p>
        </w:tc>
        <w:tc>
          <w:tcPr>
            <w:tcW w:w="496" w:type="pct"/>
            <w:tcBorders>
              <w:top w:val="nil"/>
              <w:left w:val="nil"/>
              <w:bottom w:val="single" w:color="auto" w:sz="4" w:space="0"/>
              <w:right w:val="single" w:color="auto" w:sz="4" w:space="0"/>
            </w:tcBorders>
            <w:shd w:val="clear" w:color="auto" w:fill="D9D9D9"/>
            <w:noWrap/>
            <w:vAlign w:val="center"/>
          </w:tcPr>
          <w:p>
            <w:pPr>
              <w:jc w:val="center"/>
              <w:rPr>
                <w:szCs w:val="24"/>
              </w:rPr>
            </w:pPr>
            <w:r>
              <w:rPr>
                <w:rFonts w:hint="eastAsia"/>
                <w:szCs w:val="24"/>
              </w:rPr>
              <w:t>昼间</w:t>
            </w:r>
          </w:p>
        </w:tc>
        <w:tc>
          <w:tcPr>
            <w:tcW w:w="496" w:type="pct"/>
            <w:tcBorders>
              <w:top w:val="nil"/>
              <w:left w:val="nil"/>
              <w:bottom w:val="single" w:color="auto" w:sz="4" w:space="0"/>
              <w:right w:val="single" w:color="auto" w:sz="4" w:space="0"/>
            </w:tcBorders>
            <w:shd w:val="clear" w:color="auto" w:fill="D9D9D9"/>
            <w:noWrap/>
            <w:vAlign w:val="center"/>
          </w:tcPr>
          <w:p>
            <w:pPr>
              <w:jc w:val="center"/>
              <w:rPr>
                <w:szCs w:val="24"/>
              </w:rPr>
            </w:pPr>
            <w:r>
              <w:rPr>
                <w:rFonts w:hint="eastAsia"/>
                <w:szCs w:val="24"/>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jc w:val="center"/>
              <w:rPr>
                <w:szCs w:val="24"/>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Cs w:val="24"/>
              </w:rPr>
            </w:pPr>
            <w:r>
              <w:rPr>
                <w:szCs w:val="24"/>
              </w:rPr>
              <w:t>0类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Cs w:val="24"/>
              </w:rPr>
            </w:pPr>
            <w:r>
              <w:rPr>
                <w:szCs w:val="24"/>
              </w:rPr>
              <w:t>50</w:t>
            </w:r>
          </w:p>
        </w:tc>
        <w:tc>
          <w:tcPr>
            <w:tcW w:w="496" w:type="pct"/>
            <w:tcBorders>
              <w:top w:val="nil"/>
              <w:left w:val="nil"/>
              <w:bottom w:val="single" w:color="auto" w:sz="4" w:space="0"/>
              <w:right w:val="single" w:color="auto" w:sz="4" w:space="0"/>
            </w:tcBorders>
            <w:shd w:val="clear" w:color="auto" w:fill="auto"/>
            <w:noWrap/>
            <w:vAlign w:val="center"/>
          </w:tcPr>
          <w:p>
            <w:pPr>
              <w:jc w:val="center"/>
              <w:rPr>
                <w:szCs w:val="24"/>
              </w:rPr>
            </w:pPr>
            <w:r>
              <w:rPr>
                <w:szCs w:val="24"/>
              </w:rPr>
              <w:t>40</w:t>
            </w:r>
          </w:p>
        </w:tc>
        <w:tc>
          <w:tcPr>
            <w:tcW w:w="3108" w:type="pct"/>
            <w:tcBorders>
              <w:top w:val="nil"/>
              <w:left w:val="nil"/>
              <w:bottom w:val="single" w:color="auto" w:sz="4" w:space="0"/>
              <w:right w:val="single" w:color="auto" w:sz="12" w:space="0"/>
            </w:tcBorders>
            <w:shd w:val="clear" w:color="auto" w:fill="auto"/>
            <w:vAlign w:val="center"/>
          </w:tcPr>
          <w:p>
            <w:pPr>
              <w:rPr>
                <w:szCs w:val="24"/>
              </w:rPr>
            </w:pPr>
            <w:r>
              <w:rPr>
                <w:rFonts w:hint="eastAsia"/>
                <w:szCs w:val="24"/>
              </w:rPr>
              <w:t>指康复疗养区等特别需要安静的区域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Cs w:val="24"/>
              </w:rPr>
            </w:pPr>
            <w:r>
              <w:rPr>
                <w:szCs w:val="24"/>
              </w:rPr>
              <w:t>1类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Cs w:val="24"/>
              </w:rPr>
            </w:pPr>
            <w:r>
              <w:rPr>
                <w:szCs w:val="24"/>
              </w:rPr>
              <w:t>55</w:t>
            </w:r>
          </w:p>
        </w:tc>
        <w:tc>
          <w:tcPr>
            <w:tcW w:w="496" w:type="pct"/>
            <w:tcBorders>
              <w:top w:val="nil"/>
              <w:left w:val="nil"/>
              <w:bottom w:val="single" w:color="auto" w:sz="4" w:space="0"/>
              <w:right w:val="single" w:color="auto" w:sz="4" w:space="0"/>
            </w:tcBorders>
            <w:shd w:val="clear" w:color="auto" w:fill="auto"/>
            <w:noWrap/>
            <w:vAlign w:val="center"/>
          </w:tcPr>
          <w:p>
            <w:pPr>
              <w:jc w:val="center"/>
              <w:rPr>
                <w:szCs w:val="24"/>
              </w:rPr>
            </w:pPr>
            <w:r>
              <w:rPr>
                <w:szCs w:val="24"/>
              </w:rPr>
              <w:t>45</w:t>
            </w:r>
          </w:p>
        </w:tc>
        <w:tc>
          <w:tcPr>
            <w:tcW w:w="3108" w:type="pct"/>
            <w:tcBorders>
              <w:top w:val="nil"/>
              <w:left w:val="nil"/>
              <w:bottom w:val="single" w:color="auto" w:sz="4" w:space="0"/>
              <w:right w:val="single" w:color="auto" w:sz="12" w:space="0"/>
            </w:tcBorders>
            <w:shd w:val="clear" w:color="auto" w:fill="auto"/>
            <w:vAlign w:val="center"/>
          </w:tcPr>
          <w:p>
            <w:pPr>
              <w:rPr>
                <w:szCs w:val="24"/>
              </w:rPr>
            </w:pPr>
            <w:r>
              <w:rPr>
                <w:rFonts w:hint="eastAsia"/>
                <w:szCs w:val="24"/>
              </w:rPr>
              <w:t>指以居民住宅、医疗卫生、文化教育、科研设计、行政办公为主要功能，需要保持安静的区域。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Cs w:val="24"/>
              </w:rPr>
            </w:pPr>
            <w:r>
              <w:rPr>
                <w:szCs w:val="24"/>
              </w:rPr>
              <w:t>2类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Cs w:val="24"/>
              </w:rPr>
            </w:pPr>
            <w:r>
              <w:rPr>
                <w:szCs w:val="24"/>
              </w:rPr>
              <w:t>60</w:t>
            </w:r>
          </w:p>
        </w:tc>
        <w:tc>
          <w:tcPr>
            <w:tcW w:w="496" w:type="pct"/>
            <w:tcBorders>
              <w:top w:val="nil"/>
              <w:left w:val="nil"/>
              <w:bottom w:val="single" w:color="auto" w:sz="4" w:space="0"/>
              <w:right w:val="single" w:color="auto" w:sz="4" w:space="0"/>
            </w:tcBorders>
            <w:shd w:val="clear" w:color="auto" w:fill="auto"/>
            <w:noWrap/>
            <w:vAlign w:val="center"/>
          </w:tcPr>
          <w:p>
            <w:pPr>
              <w:jc w:val="center"/>
              <w:rPr>
                <w:szCs w:val="24"/>
              </w:rPr>
            </w:pPr>
            <w:r>
              <w:rPr>
                <w:szCs w:val="24"/>
              </w:rPr>
              <w:t>50</w:t>
            </w:r>
          </w:p>
        </w:tc>
        <w:tc>
          <w:tcPr>
            <w:tcW w:w="3108" w:type="pct"/>
            <w:tcBorders>
              <w:top w:val="nil"/>
              <w:left w:val="nil"/>
              <w:bottom w:val="single" w:color="auto" w:sz="4" w:space="0"/>
              <w:right w:val="single" w:color="auto" w:sz="12" w:space="0"/>
            </w:tcBorders>
            <w:shd w:val="clear" w:color="auto" w:fill="auto"/>
            <w:vAlign w:val="center"/>
          </w:tcPr>
          <w:p>
            <w:pPr>
              <w:rPr>
                <w:szCs w:val="24"/>
              </w:rPr>
            </w:pPr>
            <w:r>
              <w:rPr>
                <w:rFonts w:hint="eastAsia"/>
                <w:szCs w:val="24"/>
              </w:rPr>
              <w:t>指以商业金融、集市贸易为主要功能，或者居住、商业、 工业混杂，需要维护住宅安静的区域。</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Cs w:val="24"/>
              </w:rPr>
            </w:pPr>
            <w:r>
              <w:rPr>
                <w:szCs w:val="24"/>
              </w:rPr>
              <w:t>3类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Cs w:val="24"/>
              </w:rPr>
            </w:pPr>
            <w:r>
              <w:rPr>
                <w:szCs w:val="24"/>
              </w:rPr>
              <w:t>65</w:t>
            </w:r>
          </w:p>
        </w:tc>
        <w:tc>
          <w:tcPr>
            <w:tcW w:w="496" w:type="pct"/>
            <w:tcBorders>
              <w:top w:val="nil"/>
              <w:left w:val="nil"/>
              <w:bottom w:val="single" w:color="auto" w:sz="4" w:space="0"/>
              <w:right w:val="single" w:color="auto" w:sz="4" w:space="0"/>
            </w:tcBorders>
            <w:shd w:val="clear" w:color="auto" w:fill="auto"/>
            <w:noWrap/>
            <w:vAlign w:val="center"/>
          </w:tcPr>
          <w:p>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pPr>
              <w:rPr>
                <w:szCs w:val="24"/>
              </w:rPr>
            </w:pPr>
            <w:r>
              <w:rPr>
                <w:rFonts w:hint="eastAsia"/>
                <w:szCs w:val="24"/>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jc w:val="center"/>
              <w:rPr>
                <w:szCs w:val="24"/>
              </w:rPr>
            </w:pPr>
            <w:r>
              <w:rPr>
                <w:szCs w:val="24"/>
              </w:rPr>
              <w:t>4类</w:t>
            </w:r>
          </w:p>
        </w:tc>
        <w:tc>
          <w:tcPr>
            <w:tcW w:w="502" w:type="pct"/>
            <w:tcBorders>
              <w:top w:val="nil"/>
              <w:left w:val="nil"/>
              <w:bottom w:val="single" w:color="auto" w:sz="4" w:space="0"/>
              <w:right w:val="single" w:color="auto" w:sz="4" w:space="0"/>
            </w:tcBorders>
            <w:shd w:val="clear" w:color="auto" w:fill="auto"/>
            <w:noWrap/>
            <w:vAlign w:val="center"/>
          </w:tcPr>
          <w:p>
            <w:pPr>
              <w:jc w:val="center"/>
              <w:rPr>
                <w:szCs w:val="24"/>
              </w:rPr>
            </w:pPr>
            <w:r>
              <w:rPr>
                <w:szCs w:val="24"/>
              </w:rPr>
              <w:t>4a类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Cs w:val="24"/>
              </w:rPr>
            </w:pPr>
            <w:r>
              <w:rPr>
                <w:szCs w:val="24"/>
              </w:rPr>
              <w:t>70</w:t>
            </w:r>
          </w:p>
        </w:tc>
        <w:tc>
          <w:tcPr>
            <w:tcW w:w="496" w:type="pct"/>
            <w:tcBorders>
              <w:top w:val="nil"/>
              <w:left w:val="nil"/>
              <w:bottom w:val="single" w:color="auto" w:sz="4" w:space="0"/>
              <w:right w:val="single" w:color="auto" w:sz="4" w:space="0"/>
            </w:tcBorders>
            <w:shd w:val="clear" w:color="auto" w:fill="auto"/>
            <w:noWrap/>
            <w:vAlign w:val="center"/>
          </w:tcPr>
          <w:p>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pPr>
              <w:rPr>
                <w:szCs w:val="24"/>
              </w:rPr>
            </w:pPr>
            <w:r>
              <w:rPr>
                <w:rFonts w:hint="eastAsia"/>
                <w:szCs w:val="24"/>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jc w:val="center"/>
              <w:rPr>
                <w:szCs w:val="24"/>
              </w:rPr>
            </w:pPr>
          </w:p>
        </w:tc>
        <w:tc>
          <w:tcPr>
            <w:tcW w:w="502" w:type="pct"/>
            <w:tcBorders>
              <w:top w:val="nil"/>
              <w:left w:val="nil"/>
              <w:bottom w:val="single" w:color="auto" w:sz="12" w:space="0"/>
              <w:right w:val="single" w:color="auto" w:sz="4" w:space="0"/>
            </w:tcBorders>
            <w:shd w:val="clear" w:color="auto" w:fill="auto"/>
            <w:noWrap/>
            <w:vAlign w:val="center"/>
          </w:tcPr>
          <w:p>
            <w:pPr>
              <w:jc w:val="center"/>
              <w:rPr>
                <w:szCs w:val="24"/>
              </w:rPr>
            </w:pPr>
            <w:r>
              <w:rPr>
                <w:szCs w:val="24"/>
              </w:rPr>
              <w:t>4b类</w:t>
            </w:r>
          </w:p>
        </w:tc>
        <w:tc>
          <w:tcPr>
            <w:tcW w:w="496" w:type="pct"/>
            <w:tcBorders>
              <w:top w:val="nil"/>
              <w:left w:val="nil"/>
              <w:bottom w:val="single" w:color="auto" w:sz="12" w:space="0"/>
              <w:right w:val="single" w:color="auto" w:sz="4" w:space="0"/>
            </w:tcBorders>
            <w:shd w:val="clear" w:color="auto" w:fill="auto"/>
            <w:noWrap/>
            <w:vAlign w:val="center"/>
          </w:tcPr>
          <w:p>
            <w:pPr>
              <w:jc w:val="center"/>
              <w:rPr>
                <w:szCs w:val="24"/>
              </w:rPr>
            </w:pPr>
            <w:r>
              <w:rPr>
                <w:szCs w:val="24"/>
              </w:rPr>
              <w:t>70</w:t>
            </w:r>
          </w:p>
        </w:tc>
        <w:tc>
          <w:tcPr>
            <w:tcW w:w="496" w:type="pct"/>
            <w:tcBorders>
              <w:top w:val="nil"/>
              <w:left w:val="nil"/>
              <w:bottom w:val="single" w:color="auto" w:sz="12" w:space="0"/>
              <w:right w:val="single" w:color="auto" w:sz="4" w:space="0"/>
            </w:tcBorders>
            <w:shd w:val="clear" w:color="auto" w:fill="auto"/>
            <w:noWrap/>
            <w:vAlign w:val="center"/>
          </w:tcPr>
          <w:p>
            <w:pPr>
              <w:jc w:val="center"/>
              <w:rPr>
                <w:szCs w:val="24"/>
              </w:rPr>
            </w:pPr>
            <w:r>
              <w:rPr>
                <w:szCs w:val="24"/>
              </w:rPr>
              <w:t>60</w:t>
            </w:r>
          </w:p>
        </w:tc>
        <w:tc>
          <w:tcPr>
            <w:tcW w:w="3108" w:type="pct"/>
            <w:tcBorders>
              <w:top w:val="nil"/>
              <w:left w:val="nil"/>
              <w:bottom w:val="single" w:color="auto" w:sz="12" w:space="0"/>
              <w:right w:val="single" w:color="auto" w:sz="12" w:space="0"/>
            </w:tcBorders>
            <w:shd w:val="clear" w:color="auto" w:fill="auto"/>
            <w:vAlign w:val="center"/>
          </w:tcPr>
          <w:p>
            <w:pPr>
              <w:rPr>
                <w:szCs w:val="24"/>
              </w:rPr>
            </w:pPr>
            <w:r>
              <w:rPr>
                <w:rFonts w:hint="eastAsia"/>
                <w:szCs w:val="24"/>
              </w:rPr>
              <w:t>适用于铁路干线两侧一定距离之内，需要防止交通噪声对周围环境产生严重影响的区域。</w:t>
            </w:r>
          </w:p>
        </w:tc>
      </w:tr>
    </w:tbl>
    <w:p>
      <w:pPr>
        <w:pStyle w:val="33"/>
        <w:spacing w:line="276" w:lineRule="auto"/>
        <w:ind w:left="210" w:leftChars="100" w:firstLine="0" w:firstLineChars="0"/>
        <w:rPr>
          <w:rFonts w:ascii="微软雅黑" w:hAnsi="微软雅黑"/>
          <w:sz w:val="16"/>
        </w:rPr>
      </w:pPr>
      <w:r>
        <w:rPr>
          <w:rFonts w:hint="eastAsia" w:ascii="微软雅黑" w:hAnsi="微软雅黑"/>
          <w:sz w:val="16"/>
        </w:rPr>
        <w:t>注：</w:t>
      </w:r>
    </w:p>
    <w:p>
      <w:pPr>
        <w:pStyle w:val="33"/>
        <w:spacing w:line="276" w:lineRule="auto"/>
        <w:ind w:left="210" w:leftChars="100" w:firstLine="0" w:firstLineChars="0"/>
        <w:rPr>
          <w:rFonts w:ascii="微软雅黑" w:hAnsi="微软雅黑"/>
          <w:sz w:val="16"/>
        </w:rPr>
      </w:pPr>
      <w:r>
        <w:rPr>
          <w:rFonts w:hint="eastAsia" w:ascii="微软雅黑" w:hAnsi="微软雅黑"/>
          <w:sz w:val="16"/>
        </w:rPr>
        <w:t>1.</w:t>
      </w:r>
      <w:r>
        <w:rPr>
          <w:rFonts w:ascii="微软雅黑" w:hAnsi="微软雅黑"/>
          <w:sz w:val="16"/>
        </w:rPr>
        <w:t xml:space="preserve"> </w:t>
      </w:r>
      <w:r>
        <w:rPr>
          <w:rFonts w:hint="eastAsia" w:ascii="微软雅黑" w:hAnsi="微软雅黑"/>
          <w:sz w:val="16"/>
        </w:rPr>
        <w:t>根据《中华人民</w:t>
      </w:r>
      <w:r>
        <w:rPr>
          <w:rFonts w:ascii="微软雅黑" w:hAnsi="微软雅黑"/>
          <w:sz w:val="16"/>
        </w:rPr>
        <w:t>共和国环境</w:t>
      </w:r>
      <w:r>
        <w:rPr>
          <w:rFonts w:hint="eastAsia" w:ascii="微软雅黑" w:hAnsi="微软雅黑"/>
          <w:sz w:val="16"/>
        </w:rPr>
        <w:t>噪声</w:t>
      </w:r>
      <w:r>
        <w:rPr>
          <w:rFonts w:ascii="微软雅黑" w:hAnsi="微软雅黑"/>
          <w:sz w:val="16"/>
        </w:rPr>
        <w:t>污染防治法</w:t>
      </w:r>
      <w:r>
        <w:rPr>
          <w:rFonts w:hint="eastAsia" w:ascii="微软雅黑" w:hAnsi="微软雅黑"/>
          <w:sz w:val="16"/>
        </w:rPr>
        <w:t>》，“昼间”是指6:00至22:00之间</w:t>
      </w:r>
      <w:r>
        <w:rPr>
          <w:rFonts w:ascii="微软雅黑" w:hAnsi="微软雅黑"/>
          <w:sz w:val="16"/>
        </w:rPr>
        <w:t>的时段；</w:t>
      </w:r>
      <w:r>
        <w:rPr>
          <w:rFonts w:hint="eastAsia" w:ascii="微软雅黑" w:hAnsi="微软雅黑"/>
          <w:sz w:val="16"/>
        </w:rPr>
        <w:t>“夜间”是指22：00至</w:t>
      </w:r>
      <w:r>
        <w:rPr>
          <w:rFonts w:ascii="微软雅黑" w:hAnsi="微软雅黑"/>
          <w:sz w:val="16"/>
        </w:rPr>
        <w:t>次日</w:t>
      </w:r>
      <w:r>
        <w:rPr>
          <w:rFonts w:hint="eastAsia" w:ascii="微软雅黑" w:hAnsi="微软雅黑"/>
          <w:sz w:val="16"/>
        </w:rPr>
        <w:t>6:00之间</w:t>
      </w:r>
      <w:r>
        <w:rPr>
          <w:rFonts w:ascii="微软雅黑" w:hAnsi="微软雅黑"/>
          <w:sz w:val="16"/>
        </w:rPr>
        <w:t>的时段。</w:t>
      </w:r>
    </w:p>
    <w:p>
      <w:pPr>
        <w:pStyle w:val="33"/>
        <w:spacing w:line="276" w:lineRule="auto"/>
        <w:ind w:left="210" w:leftChars="100" w:firstLine="0" w:firstLineChars="0"/>
        <w:rPr>
          <w:rFonts w:ascii="微软雅黑" w:hAnsi="微软雅黑"/>
          <w:sz w:val="16"/>
        </w:rPr>
      </w:pPr>
      <w:r>
        <w:rPr>
          <w:rFonts w:hint="eastAsia" w:ascii="微软雅黑" w:hAnsi="微软雅黑"/>
          <w:sz w:val="16"/>
        </w:rPr>
        <w:t>2.</w:t>
      </w:r>
      <w:r>
        <w:rPr>
          <w:rFonts w:ascii="微软雅黑" w:hAnsi="微软雅黑"/>
          <w:sz w:val="16"/>
        </w:rPr>
        <w:t xml:space="preserve"> </w:t>
      </w:r>
      <w:r>
        <w:rPr>
          <w:rFonts w:hint="eastAsia" w:ascii="微软雅黑" w:hAnsi="微软雅黑"/>
          <w:sz w:val="16"/>
        </w:rPr>
        <w:t>表中4b类声环境功能区环境噪声限值，适用于2011 年1 月1 日起环境影响评价文件通过审批的新建铁路（含新开廊道的增建铁路）干线建设项目两侧区域。</w:t>
      </w:r>
    </w:p>
    <w:p>
      <w:pPr>
        <w:pStyle w:val="2"/>
        <w:rPr>
          <w:sz w:val="28"/>
          <w:szCs w:val="28"/>
        </w:rPr>
      </w:pPr>
      <w:bookmarkStart w:id="19" w:name="声功能区类别表格"/>
      <w:bookmarkEnd w:id="19"/>
      <w:bookmarkStart w:id="20" w:name="_Toc479326721"/>
      <w:bookmarkStart w:id="21" w:name="_Toc30674"/>
      <w:r>
        <w:rPr>
          <w:rFonts w:hint="eastAsia"/>
          <w:sz w:val="28"/>
          <w:szCs w:val="28"/>
        </w:rPr>
        <w:t>3.模拟</w:t>
      </w:r>
      <w:r>
        <w:rPr>
          <w:sz w:val="28"/>
          <w:szCs w:val="28"/>
        </w:rPr>
        <w:t>方法</w:t>
      </w:r>
      <w:bookmarkEnd w:id="20"/>
      <w:bookmarkEnd w:id="21"/>
    </w:p>
    <w:p>
      <w:pPr>
        <w:pStyle w:val="3"/>
        <w:rPr>
          <w:sz w:val="24"/>
          <w:szCs w:val="24"/>
        </w:rPr>
      </w:pPr>
      <w:bookmarkStart w:id="22" w:name="_Toc479326722"/>
      <w:bookmarkStart w:id="23" w:name="_Toc16322"/>
      <w:r>
        <w:rPr>
          <w:rFonts w:hint="eastAsia"/>
          <w:sz w:val="24"/>
          <w:szCs w:val="24"/>
        </w:rPr>
        <w:t>3.1模拟软件</w:t>
      </w:r>
      <w:bookmarkEnd w:id="22"/>
      <w:bookmarkEnd w:id="23"/>
    </w:p>
    <w:p>
      <w:pPr>
        <w:pStyle w:val="33"/>
        <w:spacing w:line="276" w:lineRule="auto"/>
        <w:ind w:firstLine="420"/>
        <w:rPr>
          <w:rFonts w:ascii="微软雅黑" w:hAnsi="微软雅黑" w:cs="Times New Roman"/>
          <w:sz w:val="21"/>
          <w:szCs w:val="21"/>
        </w:rPr>
      </w:pPr>
      <w:bookmarkStart w:id="24"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22"/>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 9613-2：1996、国内公布的《声学户外声传播的衰减第2部分：一般计算方法》GB/T 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 15190</w:t>
      </w:r>
      <w:r>
        <w:rPr>
          <w:rFonts w:hint="eastAsia" w:ascii="微软雅黑" w:hAnsi="微软雅黑"/>
          <w:sz w:val="21"/>
          <w:szCs w:val="21"/>
        </w:rPr>
        <w:t>，判断场地内环境噪声模拟结果是否满足《声环境质量标准》</w:t>
      </w:r>
      <w:r>
        <w:rPr>
          <w:rFonts w:ascii="微软雅黑" w:hAnsi="微软雅黑"/>
          <w:sz w:val="21"/>
          <w:szCs w:val="21"/>
        </w:rPr>
        <w:t>GB 3096</w:t>
      </w:r>
      <w:r>
        <w:rPr>
          <w:rFonts w:hint="eastAsia" w:ascii="微软雅黑" w:hAnsi="微软雅黑"/>
          <w:sz w:val="21"/>
          <w:szCs w:val="21"/>
        </w:rPr>
        <w:t>和《绿色建筑评价标准》GB 50378的相关规定。</w:t>
      </w:r>
    </w:p>
    <w:p>
      <w:pPr>
        <w:pStyle w:val="3"/>
        <w:rPr>
          <w:sz w:val="24"/>
          <w:szCs w:val="24"/>
        </w:rPr>
      </w:pPr>
      <w:bookmarkStart w:id="25" w:name="_Toc32234"/>
      <w:r>
        <w:rPr>
          <w:rFonts w:hint="eastAsia"/>
          <w:sz w:val="24"/>
          <w:szCs w:val="24"/>
        </w:rPr>
        <w:t>3.2分析</w:t>
      </w:r>
      <w:r>
        <w:rPr>
          <w:sz w:val="24"/>
          <w:szCs w:val="24"/>
        </w:rPr>
        <w:t>模</w:t>
      </w:r>
      <w:r>
        <w:rPr>
          <w:rFonts w:hint="eastAsia"/>
          <w:sz w:val="24"/>
          <w:szCs w:val="24"/>
        </w:rPr>
        <w:t>型</w:t>
      </w:r>
      <w:bookmarkEnd w:id="24"/>
      <w:bookmarkEnd w:id="25"/>
    </w:p>
    <w:p>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667375" cy="40481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0"/>
                    <a:stretch>
                      <a:fillRect/>
                    </a:stretch>
                  </pic:blipFill>
                  <pic:spPr>
                    <a:xfrm>
                      <a:off x="0" y="0"/>
                      <a:ext cx="5667375" cy="4048125"/>
                    </a:xfrm>
                    <a:prstGeom prst="rect">
                      <a:avLst/>
                    </a:prstGeom>
                  </pic:spPr>
                </pic:pic>
              </a:graphicData>
            </a:graphic>
          </wp:inline>
        </w:drawing>
      </w:r>
    </w:p>
    <w:p>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pPr>
        <w:pStyle w:val="3"/>
        <w:rPr>
          <w:rFonts w:ascii="宋体"/>
          <w:sz w:val="24"/>
          <w:szCs w:val="24"/>
        </w:rPr>
      </w:pPr>
      <w:bookmarkStart w:id="27" w:name="_Toc479326725"/>
      <w:bookmarkStart w:id="28" w:name="_Toc23670"/>
      <w:r>
        <w:rPr>
          <w:rFonts w:hint="eastAsia"/>
          <w:sz w:val="24"/>
          <w:szCs w:val="24"/>
        </w:rPr>
        <w:t>3.</w:t>
      </w:r>
      <w:r>
        <w:rPr>
          <w:sz w:val="24"/>
          <w:szCs w:val="24"/>
        </w:rPr>
        <w:t>3</w:t>
      </w:r>
      <w:r>
        <w:rPr>
          <w:rFonts w:hint="eastAsia"/>
          <w:sz w:val="24"/>
          <w:szCs w:val="24"/>
        </w:rPr>
        <w:t>计算条件</w:t>
      </w:r>
      <w:bookmarkEnd w:id="27"/>
      <w:bookmarkEnd w:id="28"/>
    </w:p>
    <w:p>
      <w:pPr>
        <w:rPr>
          <w:bCs/>
        </w:rPr>
      </w:pPr>
      <w:bookmarkStart w:id="29" w:name="计算条件"/>
      <w:r>
        <w:rPr>
          <w:rFonts w:hint="eastAsia"/>
          <w:bCs/>
        </w:rPr>
        <w:t>■ 网格设置</w:t>
      </w:r>
    </w:p>
    <w:p>
      <w:pPr>
        <w:rPr>
          <w:bCs/>
        </w:rPr>
      </w:pPr>
      <w:r>
        <w:rPr>
          <w:bCs/>
          <w:color w:val="000000"/>
        </w:rPr>
        <w:t xml:space="preserve">  平面网格间距：5×5 米</w:t>
      </w:r>
    </w:p>
    <w:p>
      <w:pPr>
        <w:rPr>
          <w:bCs/>
        </w:rPr>
      </w:pPr>
      <w:r>
        <w:rPr>
          <w:bCs/>
          <w:color w:val="000000"/>
        </w:rPr>
        <w:t xml:space="preserve">  平面网格离地高度：1.5 米</w:t>
      </w:r>
    </w:p>
    <w:p>
      <w:pPr>
        <w:rPr>
          <w:bCs/>
        </w:rPr>
      </w:pPr>
      <w:r>
        <w:rPr>
          <w:bCs/>
          <w:color w:val="000000"/>
        </w:rPr>
        <w:t xml:space="preserve">  立面网格间距：3×3 米</w:t>
      </w:r>
    </w:p>
    <w:p>
      <w:pPr>
        <w:rPr>
          <w:bCs/>
        </w:rPr>
      </w:pPr>
    </w:p>
    <w:p>
      <w:pPr>
        <w:rPr>
          <w:bCs/>
        </w:rPr>
      </w:pPr>
      <w:r>
        <w:rPr>
          <w:bCs/>
          <w:color w:val="000000"/>
        </w:rPr>
        <w:t>■ 地面效应</w:t>
      </w:r>
    </w:p>
    <w:p>
      <w:pPr>
        <w:rPr>
          <w:bCs/>
        </w:rPr>
      </w:pPr>
      <w:r>
        <w:rPr>
          <w:bCs/>
          <w:color w:val="000000"/>
        </w:rPr>
        <w:t xml:space="preserve">  地面高度：0 米</w:t>
      </w:r>
    </w:p>
    <w:p>
      <w:pPr>
        <w:rPr>
          <w:bCs/>
        </w:rPr>
      </w:pPr>
      <w:r>
        <w:rPr>
          <w:bCs/>
          <w:color w:val="000000"/>
        </w:rPr>
        <w:t xml:space="preserve">  计算考虑地面效应</w:t>
      </w:r>
    </w:p>
    <w:p>
      <w:pPr>
        <w:rPr>
          <w:bCs/>
        </w:rPr>
      </w:pPr>
      <w:r>
        <w:rPr>
          <w:bCs/>
          <w:color w:val="000000"/>
        </w:rPr>
        <w:t xml:space="preserve">  地面效应计算方法：导则算法</w:t>
      </w:r>
    </w:p>
    <w:p>
      <w:pPr>
        <w:rPr>
          <w:bCs/>
        </w:rPr>
      </w:pPr>
    </w:p>
    <w:p>
      <w:pPr>
        <w:rPr>
          <w:bCs/>
        </w:rPr>
      </w:pPr>
      <w:r>
        <w:rPr>
          <w:bCs/>
          <w:color w:val="000000"/>
        </w:rPr>
        <w:t>■ 噪声反射</w:t>
      </w:r>
    </w:p>
    <w:p>
      <w:pPr>
        <w:rPr>
          <w:bCs/>
        </w:rPr>
      </w:pPr>
      <w:r>
        <w:rPr>
          <w:bCs/>
          <w:color w:val="000000"/>
        </w:rPr>
        <w:t xml:space="preserve">  障碍物考虑的最大反射次数：1</w:t>
      </w:r>
    </w:p>
    <w:p>
      <w:pPr>
        <w:rPr>
          <w:bCs/>
        </w:rPr>
      </w:pPr>
    </w:p>
    <w:p>
      <w:pPr>
        <w:rPr>
          <w:bCs/>
        </w:rPr>
      </w:pPr>
      <w:r>
        <w:rPr>
          <w:bCs/>
          <w:color w:val="000000"/>
        </w:rPr>
        <w:t>■ 空气吸收</w:t>
      </w:r>
    </w:p>
    <w:p>
      <w:pPr>
        <w:rPr>
          <w:bCs/>
        </w:rPr>
      </w:pPr>
      <w:r>
        <w:rPr>
          <w:bCs/>
          <w:color w:val="000000"/>
        </w:rPr>
        <w:t xml:space="preserve">  气压：101325Pa  气温：16℃  湿度：50%</w:t>
      </w:r>
    </w:p>
    <w:p>
      <w:pPr>
        <w:rPr>
          <w:bCs/>
        </w:rPr>
      </w:pPr>
    </w:p>
    <w:p>
      <w:pPr>
        <w:rPr>
          <w:bCs/>
        </w:rPr>
      </w:pPr>
      <w:r>
        <w:rPr>
          <w:bCs/>
          <w:color w:val="000000"/>
        </w:rPr>
        <w:t>■ 达标统计</w:t>
      </w:r>
    </w:p>
    <w:p>
      <w:pPr>
        <w:rPr>
          <w:bCs/>
        </w:rPr>
      </w:pPr>
      <w:r>
        <w:rPr>
          <w:bCs/>
          <w:color w:val="000000"/>
        </w:rPr>
        <w:t xml:space="preserve">  建筑物噪声最大值统计方式</w:t>
      </w:r>
    </w:p>
    <w:p>
      <w:pPr>
        <w:rPr>
          <w:bCs/>
        </w:rPr>
      </w:pPr>
      <w:r>
        <w:rPr>
          <w:bCs/>
          <w:color w:val="000000"/>
        </w:rPr>
        <w:t xml:space="preserve">    取距离建筑物底标高1.5米沿线点</w:t>
      </w:r>
    </w:p>
    <w:p>
      <w:pPr>
        <w:rPr>
          <w:bCs/>
        </w:rPr>
      </w:pPr>
      <w:r>
        <w:rPr>
          <w:bCs/>
          <w:color w:val="000000"/>
        </w:rPr>
        <w:t xml:space="preserve">  场地环境噪声达标统计方式</w:t>
      </w:r>
    </w:p>
    <w:p>
      <w:pPr>
        <w:rPr>
          <w:bCs/>
        </w:rPr>
      </w:pPr>
      <w:r>
        <w:rPr>
          <w:bCs/>
          <w:color w:val="000000"/>
        </w:rPr>
        <w:t xml:space="preserve">    场地内命名参评建筑物全部达标</w:t>
      </w:r>
    </w:p>
    <w:bookmarkEnd w:id="29"/>
    <w:p>
      <w:pPr>
        <w:pStyle w:val="3"/>
        <w:rPr>
          <w:sz w:val="24"/>
          <w:szCs w:val="24"/>
        </w:rPr>
      </w:pPr>
      <w:bookmarkStart w:id="30" w:name="_Toc479326726"/>
      <w:bookmarkStart w:id="31" w:name="_Toc9468"/>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spacing w:line="276" w:lineRule="auto"/>
        <w:jc w:val="center"/>
      </w:pPr>
      <w:bookmarkStart w:id="32" w:name="声源表"/>
      <w:bookmarkEnd w:id="32"/>
      <w:r>
        <w:rPr>
          <w:sz w:val="18"/>
          <w:szCs w:val="18"/>
        </w:rPr>
        <w:t>表3.4-1 公路噪声源</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24"/>
        <w:gridCol w:w="848"/>
        <w:gridCol w:w="848"/>
        <w:gridCol w:w="848"/>
        <w:gridCol w:w="1075"/>
        <w:gridCol w:w="905"/>
        <w:gridCol w:w="905"/>
        <w:gridCol w:w="90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路段名称</w:t>
            </w:r>
          </w:p>
        </w:tc>
        <w:tc>
          <w:tcPr>
            <w:shd w:val="clear" w:color="auto" w:fill="E6E6E6"/>
            <w:vAlign w:val="center"/>
          </w:tcPr>
          <w:p>
            <w:pPr>
              <w:jc w:val="center"/>
              <w:rPr>
                <w:sz w:val="21"/>
                <w:szCs w:val="21"/>
              </w:rPr>
            </w:pPr>
            <w:r>
              <w:rPr>
                <w:sz w:val="21"/>
                <w:szCs w:val="21"/>
              </w:rPr>
              <w:t>路面</w:t>
            </w:r>
            <w:r>
              <w:rPr>
                <w:sz w:val="21"/>
                <w:szCs w:val="21"/>
              </w:rPr>
              <w:br w:type="textWrapping"/>
            </w:r>
            <w:r>
              <w:rPr>
                <w:sz w:val="21"/>
                <w:szCs w:val="21"/>
              </w:rPr>
              <w:t>材料</w:t>
            </w:r>
          </w:p>
        </w:tc>
        <w:tc>
          <w:tcPr>
            <w:shd w:val="clear" w:color="auto" w:fill="E6E6E6"/>
            <w:vAlign w:val="center"/>
          </w:tcPr>
          <w:p>
            <w:pPr>
              <w:jc w:val="center"/>
              <w:rPr>
                <w:sz w:val="21"/>
                <w:szCs w:val="21"/>
              </w:rPr>
            </w:pPr>
            <w:r>
              <w:rPr>
                <w:sz w:val="21"/>
                <w:szCs w:val="21"/>
              </w:rPr>
              <w:t>车道</w:t>
            </w:r>
            <w:r>
              <w:rPr>
                <w:sz w:val="21"/>
                <w:szCs w:val="21"/>
              </w:rPr>
              <w:br w:type="textWrapping"/>
            </w:r>
            <w:r>
              <w:rPr>
                <w:sz w:val="21"/>
                <w:szCs w:val="21"/>
              </w:rPr>
              <w:t>数量</w:t>
            </w:r>
          </w:p>
        </w:tc>
        <w:tc>
          <w:tcPr>
            <w:shd w:val="clear" w:color="auto" w:fill="E6E6E6"/>
            <w:vAlign w:val="center"/>
          </w:tcPr>
          <w:p>
            <w:pPr>
              <w:jc w:val="center"/>
              <w:rPr>
                <w:sz w:val="21"/>
                <w:szCs w:val="21"/>
              </w:rPr>
            </w:pPr>
            <w:r>
              <w:rPr>
                <w:sz w:val="21"/>
                <w:szCs w:val="21"/>
              </w:rPr>
              <w:t>时段</w:t>
            </w:r>
          </w:p>
        </w:tc>
        <w:tc>
          <w:tcPr>
            <w:shd w:val="clear" w:color="auto" w:fill="E6E6E6"/>
            <w:vAlign w:val="center"/>
          </w:tcPr>
          <w:p>
            <w:pPr>
              <w:jc w:val="center"/>
              <w:rPr>
                <w:sz w:val="21"/>
                <w:szCs w:val="21"/>
              </w:rPr>
            </w:pPr>
            <w:r>
              <w:rPr>
                <w:sz w:val="21"/>
                <w:szCs w:val="21"/>
              </w:rPr>
              <w:t>设计车速</w:t>
            </w:r>
            <w:r>
              <w:rPr>
                <w:sz w:val="21"/>
                <w:szCs w:val="21"/>
              </w:rPr>
              <w:br w:type="textWrapping"/>
            </w:r>
            <w:r>
              <w:rPr>
                <w:sz w:val="21"/>
                <w:szCs w:val="21"/>
              </w:rPr>
              <w:t>km/h</w:t>
            </w:r>
          </w:p>
        </w:tc>
        <w:tc>
          <w:tcPr>
            <w:shd w:val="clear" w:color="auto" w:fill="E6E6E6"/>
            <w:vAlign w:val="center"/>
          </w:tcPr>
          <w:p>
            <w:pPr>
              <w:jc w:val="center"/>
              <w:rPr>
                <w:sz w:val="21"/>
                <w:szCs w:val="21"/>
              </w:rPr>
            </w:pPr>
            <w:r>
              <w:rPr>
                <w:sz w:val="21"/>
                <w:szCs w:val="21"/>
              </w:rPr>
              <w:t>小型车</w:t>
            </w:r>
            <w:r>
              <w:rPr>
                <w:sz w:val="21"/>
                <w:szCs w:val="21"/>
              </w:rPr>
              <w:br w:type="textWrapping"/>
            </w:r>
            <w:r>
              <w:rPr>
                <w:sz w:val="21"/>
                <w:szCs w:val="21"/>
              </w:rPr>
              <w:t>辆/h</w:t>
            </w:r>
          </w:p>
        </w:tc>
        <w:tc>
          <w:tcPr>
            <w:shd w:val="clear" w:color="auto" w:fill="E6E6E6"/>
            <w:vAlign w:val="center"/>
          </w:tcPr>
          <w:p>
            <w:pPr>
              <w:jc w:val="center"/>
              <w:rPr>
                <w:sz w:val="21"/>
                <w:szCs w:val="21"/>
              </w:rPr>
            </w:pPr>
            <w:r>
              <w:rPr>
                <w:sz w:val="21"/>
                <w:szCs w:val="21"/>
              </w:rPr>
              <w:t>中型车</w:t>
            </w:r>
            <w:r>
              <w:rPr>
                <w:sz w:val="21"/>
                <w:szCs w:val="21"/>
              </w:rPr>
              <w:br w:type="textWrapping"/>
            </w:r>
            <w:r>
              <w:rPr>
                <w:sz w:val="21"/>
                <w:szCs w:val="21"/>
              </w:rPr>
              <w:t>辆/h</w:t>
            </w:r>
          </w:p>
        </w:tc>
        <w:tc>
          <w:tcPr>
            <w:shd w:val="clear" w:color="auto" w:fill="E6E6E6"/>
            <w:vAlign w:val="center"/>
          </w:tcPr>
          <w:p>
            <w:pPr>
              <w:jc w:val="center"/>
              <w:rPr>
                <w:sz w:val="21"/>
                <w:szCs w:val="21"/>
              </w:rPr>
            </w:pPr>
            <w:r>
              <w:rPr>
                <w:sz w:val="21"/>
                <w:szCs w:val="21"/>
              </w:rPr>
              <w:t>大型车</w:t>
            </w:r>
            <w:r>
              <w:rPr>
                <w:sz w:val="21"/>
                <w:szCs w:val="21"/>
              </w:rPr>
              <w:br w:type="textWrapping"/>
            </w:r>
            <w:r>
              <w:rPr>
                <w:sz w:val="21"/>
                <w:szCs w:val="21"/>
              </w:rPr>
              <w:t>辆/h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公路</w:t>
            </w:r>
          </w:p>
        </w:tc>
        <w:tc>
          <w:tcPr>
            <w:vMerge w:val="restart"/>
            <w:vAlign w:val="center"/>
          </w:tcPr>
          <w:p>
            <w:pPr>
              <w:jc w:val="center"/>
              <w:rPr>
                <w:sz w:val="21"/>
                <w:szCs w:val="21"/>
              </w:rPr>
            </w:pPr>
            <w:r>
              <w:rPr>
                <w:sz w:val="21"/>
                <w:szCs w:val="21"/>
              </w:rPr>
              <w:t>水泥</w:t>
            </w:r>
            <w:r>
              <w:rPr>
                <w:sz w:val="21"/>
                <w:szCs w:val="21"/>
              </w:rPr>
              <w:br w:type="textWrapping"/>
            </w:r>
            <w:r>
              <w:rPr>
                <w:sz w:val="21"/>
                <w:szCs w:val="21"/>
              </w:rPr>
              <w:t>混凝土</w:t>
            </w:r>
          </w:p>
        </w:tc>
        <w:tc>
          <w:tcPr>
            <w:vMerge w:val="restart"/>
            <w:vAlign w:val="center"/>
          </w:tcPr>
          <w:p>
            <w:pPr>
              <w:jc w:val="center"/>
              <w:rPr>
                <w:sz w:val="21"/>
                <w:szCs w:val="21"/>
              </w:rPr>
            </w:pPr>
            <w:r>
              <w:rPr>
                <w:sz w:val="21"/>
                <w:szCs w:val="21"/>
              </w:rPr>
              <w:t>2</w:t>
            </w:r>
          </w:p>
        </w:tc>
        <w:tc>
          <w:tcPr>
            <w:vAlign w:val="center"/>
          </w:tcPr>
          <w:p>
            <w:pPr>
              <w:jc w:val="center"/>
              <w:rPr>
                <w:sz w:val="21"/>
                <w:szCs w:val="21"/>
              </w:rPr>
            </w:pPr>
            <w:r>
              <w:rPr>
                <w:sz w:val="21"/>
                <w:szCs w:val="21"/>
              </w:rPr>
              <w:t>昼间</w:t>
            </w:r>
          </w:p>
        </w:tc>
        <w:tc>
          <w:tcPr>
            <w:vAlign w:val="center"/>
          </w:tcPr>
          <w:p>
            <w:pPr>
              <w:jc w:val="center"/>
              <w:rPr>
                <w:sz w:val="21"/>
                <w:szCs w:val="21"/>
              </w:rPr>
            </w:pPr>
            <w:r>
              <w:rPr>
                <w:sz w:val="21"/>
                <w:szCs w:val="21"/>
              </w:rPr>
              <w:t>40</w:t>
            </w:r>
          </w:p>
        </w:tc>
        <w:tc>
          <w:tcPr>
            <w:vAlign w:val="center"/>
          </w:tcPr>
          <w:p>
            <w:pPr>
              <w:jc w:val="center"/>
              <w:rPr>
                <w:sz w:val="21"/>
                <w:szCs w:val="21"/>
              </w:rPr>
            </w:pPr>
            <w:r>
              <w:rPr>
                <w:sz w:val="21"/>
                <w:szCs w:val="21"/>
              </w:rPr>
              <w:t>100</w:t>
            </w:r>
          </w:p>
        </w:tc>
        <w:tc>
          <w:tcPr>
            <w:vAlign w:val="center"/>
          </w:tcPr>
          <w:p>
            <w:pPr>
              <w:jc w:val="center"/>
              <w:rPr>
                <w:sz w:val="21"/>
                <w:szCs w:val="21"/>
              </w:rPr>
            </w:pPr>
            <w:r>
              <w:rPr>
                <w:sz w:val="21"/>
                <w:szCs w:val="21"/>
              </w:rPr>
              <w:t>0</w:t>
            </w:r>
          </w:p>
        </w:tc>
        <w:tc>
          <w:tcPr>
            <w:vAlign w:val="center"/>
          </w:tcPr>
          <w:p>
            <w:pPr>
              <w:jc w:val="center"/>
              <w:rPr>
                <w:sz w:val="21"/>
                <w:szCs w:val="21"/>
              </w:rPr>
            </w:pPr>
            <w:r>
              <w:rPr>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p>
        </w:tc>
        <w:tc>
          <w:tcPr>
            <w:vMerge w:val="continue"/>
            <w:vAlign w:val="center"/>
          </w:tcPr>
          <w:p>
            <w:pPr>
              <w:jc w:val="center"/>
              <w:rPr>
                <w:sz w:val="21"/>
                <w:szCs w:val="21"/>
              </w:rPr>
            </w:pPr>
          </w:p>
        </w:tc>
        <w:tc>
          <w:tcPr>
            <w:vMerge w:val="continue"/>
            <w:vAlign w:val="center"/>
          </w:tcPr>
          <w:p>
            <w:pPr>
              <w:jc w:val="center"/>
              <w:rPr>
                <w:sz w:val="21"/>
                <w:szCs w:val="21"/>
              </w:rPr>
            </w:pPr>
          </w:p>
        </w:tc>
        <w:tc>
          <w:tcPr>
            <w:vAlign w:val="center"/>
          </w:tcPr>
          <w:p>
            <w:pPr>
              <w:jc w:val="center"/>
              <w:rPr>
                <w:sz w:val="21"/>
                <w:szCs w:val="21"/>
              </w:rPr>
            </w:pPr>
            <w:r>
              <w:rPr>
                <w:sz w:val="21"/>
                <w:szCs w:val="21"/>
              </w:rPr>
              <w:t>夜间</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0</w:t>
            </w:r>
          </w:p>
        </w:tc>
        <w:tc>
          <w:tcPr>
            <w:vAlign w:val="center"/>
          </w:tcPr>
          <w:p>
            <w:pPr>
              <w:jc w:val="center"/>
              <w:rPr>
                <w:sz w:val="21"/>
                <w:szCs w:val="21"/>
              </w:rPr>
            </w:pPr>
            <w:r>
              <w:rPr>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公路</w:t>
            </w:r>
          </w:p>
        </w:tc>
        <w:tc>
          <w:tcPr>
            <w:vMerge w:val="restart"/>
            <w:vAlign w:val="center"/>
          </w:tcPr>
          <w:p>
            <w:pPr>
              <w:jc w:val="center"/>
              <w:rPr>
                <w:sz w:val="21"/>
                <w:szCs w:val="21"/>
              </w:rPr>
            </w:pPr>
            <w:r>
              <w:rPr>
                <w:sz w:val="21"/>
                <w:szCs w:val="21"/>
              </w:rPr>
              <w:t>水泥</w:t>
            </w:r>
            <w:r>
              <w:rPr>
                <w:sz w:val="21"/>
                <w:szCs w:val="21"/>
              </w:rPr>
              <w:br w:type="textWrapping"/>
            </w:r>
            <w:r>
              <w:rPr>
                <w:sz w:val="21"/>
                <w:szCs w:val="21"/>
              </w:rPr>
              <w:t>混凝土</w:t>
            </w:r>
          </w:p>
        </w:tc>
        <w:tc>
          <w:tcPr>
            <w:vMerge w:val="restart"/>
            <w:vAlign w:val="center"/>
          </w:tcPr>
          <w:p>
            <w:pPr>
              <w:jc w:val="center"/>
              <w:rPr>
                <w:sz w:val="21"/>
                <w:szCs w:val="21"/>
              </w:rPr>
            </w:pPr>
            <w:r>
              <w:rPr>
                <w:sz w:val="21"/>
                <w:szCs w:val="21"/>
              </w:rPr>
              <w:t>2</w:t>
            </w:r>
          </w:p>
        </w:tc>
        <w:tc>
          <w:tcPr>
            <w:vAlign w:val="center"/>
          </w:tcPr>
          <w:p>
            <w:pPr>
              <w:jc w:val="center"/>
              <w:rPr>
                <w:sz w:val="21"/>
                <w:szCs w:val="21"/>
              </w:rPr>
            </w:pPr>
            <w:r>
              <w:rPr>
                <w:sz w:val="21"/>
                <w:szCs w:val="21"/>
              </w:rPr>
              <w:t>昼间</w:t>
            </w:r>
          </w:p>
        </w:tc>
        <w:tc>
          <w:tcPr>
            <w:vAlign w:val="center"/>
          </w:tcPr>
          <w:p>
            <w:pPr>
              <w:jc w:val="center"/>
              <w:rPr>
                <w:sz w:val="21"/>
                <w:szCs w:val="21"/>
              </w:rPr>
            </w:pPr>
            <w:r>
              <w:rPr>
                <w:sz w:val="21"/>
                <w:szCs w:val="21"/>
              </w:rPr>
              <w:t>40</w:t>
            </w:r>
          </w:p>
        </w:tc>
        <w:tc>
          <w:tcPr>
            <w:vAlign w:val="center"/>
          </w:tcPr>
          <w:p>
            <w:pPr>
              <w:jc w:val="center"/>
              <w:rPr>
                <w:sz w:val="21"/>
                <w:szCs w:val="21"/>
              </w:rPr>
            </w:pPr>
            <w:r>
              <w:rPr>
                <w:sz w:val="21"/>
                <w:szCs w:val="21"/>
              </w:rPr>
              <w:t>100</w:t>
            </w:r>
          </w:p>
        </w:tc>
        <w:tc>
          <w:tcPr>
            <w:vAlign w:val="center"/>
          </w:tcPr>
          <w:p>
            <w:pPr>
              <w:jc w:val="center"/>
              <w:rPr>
                <w:sz w:val="21"/>
                <w:szCs w:val="21"/>
              </w:rPr>
            </w:pPr>
            <w:r>
              <w:rPr>
                <w:sz w:val="21"/>
                <w:szCs w:val="21"/>
              </w:rPr>
              <w:t>0</w:t>
            </w:r>
          </w:p>
        </w:tc>
        <w:tc>
          <w:tcPr>
            <w:vAlign w:val="center"/>
          </w:tcPr>
          <w:p>
            <w:pPr>
              <w:jc w:val="center"/>
              <w:rPr>
                <w:sz w:val="21"/>
                <w:szCs w:val="21"/>
              </w:rPr>
            </w:pPr>
            <w:r>
              <w:rPr>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p>
        </w:tc>
        <w:tc>
          <w:tcPr>
            <w:vMerge w:val="continue"/>
            <w:vAlign w:val="center"/>
          </w:tcPr>
          <w:p>
            <w:pPr>
              <w:jc w:val="center"/>
              <w:rPr>
                <w:sz w:val="21"/>
                <w:szCs w:val="21"/>
              </w:rPr>
            </w:pPr>
          </w:p>
        </w:tc>
        <w:tc>
          <w:tcPr>
            <w:vMerge w:val="continue"/>
            <w:vAlign w:val="center"/>
          </w:tcPr>
          <w:p>
            <w:pPr>
              <w:jc w:val="center"/>
              <w:rPr>
                <w:sz w:val="21"/>
                <w:szCs w:val="21"/>
              </w:rPr>
            </w:pPr>
          </w:p>
        </w:tc>
        <w:tc>
          <w:tcPr>
            <w:vAlign w:val="center"/>
          </w:tcPr>
          <w:p>
            <w:pPr>
              <w:jc w:val="center"/>
              <w:rPr>
                <w:sz w:val="21"/>
                <w:szCs w:val="21"/>
              </w:rPr>
            </w:pPr>
            <w:r>
              <w:rPr>
                <w:sz w:val="21"/>
                <w:szCs w:val="21"/>
              </w:rPr>
              <w:t>夜间</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0</w:t>
            </w:r>
          </w:p>
        </w:tc>
        <w:tc>
          <w:tcPr>
            <w:vAlign w:val="center"/>
          </w:tcPr>
          <w:p>
            <w:pPr>
              <w:jc w:val="center"/>
              <w:rPr>
                <w:sz w:val="21"/>
                <w:szCs w:val="21"/>
              </w:rPr>
            </w:pPr>
            <w:r>
              <w:rPr>
                <w:sz w:val="21"/>
                <w:szCs w:val="21"/>
              </w:rPr>
              <w:t>0</w:t>
            </w:r>
          </w:p>
        </w:tc>
      </w:tr>
    </w:tbl>
    <w:p>
      <w:pPr>
        <w:spacing w:line="276" w:lineRule="auto"/>
        <w:jc w:val="center"/>
      </w:pPr>
    </w:p>
    <w:p>
      <w:pPr>
        <w:pStyle w:val="2"/>
        <w:rPr>
          <w:sz w:val="28"/>
          <w:szCs w:val="28"/>
        </w:rPr>
      </w:pPr>
      <w:bookmarkStart w:id="33" w:name="_Toc479326727"/>
      <w:bookmarkStart w:id="34" w:name="_Toc20828"/>
      <w:r>
        <w:rPr>
          <w:rFonts w:hint="eastAsia"/>
          <w:sz w:val="28"/>
          <w:szCs w:val="28"/>
        </w:rPr>
        <w:t>4.模拟结果</w:t>
      </w:r>
      <w:r>
        <w:rPr>
          <w:sz w:val="28"/>
          <w:szCs w:val="28"/>
        </w:rPr>
        <w:t>及分析</w:t>
      </w:r>
      <w:bookmarkEnd w:id="33"/>
      <w:bookmarkEnd w:id="34"/>
      <w:r>
        <w:rPr>
          <w:rFonts w:hint="eastAsia"/>
          <w:sz w:val="28"/>
          <w:szCs w:val="28"/>
        </w:rPr>
        <w:t xml:space="preserve"> </w:t>
      </w:r>
    </w:p>
    <w:p>
      <w:pPr>
        <w:ind w:firstLine="420" w:firstLineChars="200"/>
      </w:pPr>
      <w:bookmarkStart w:id="35"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6" w:name="_Toc25365"/>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pPr>
        <w:jc w:val="center"/>
      </w:pPr>
      <w:r>
        <w:drawing>
          <wp:inline distT="0" distB="0" distL="0" distR="0">
            <wp:extent cx="5273675" cy="40894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06" cy="409371"/>
                    </a:xfrm>
                    <a:prstGeom prst="rect">
                      <a:avLst/>
                    </a:prstGeom>
                    <a:noFill/>
                    <a:ln>
                      <a:noFill/>
                    </a:ln>
                  </pic:spPr>
                </pic:pic>
              </a:graphicData>
            </a:graphic>
          </wp:inline>
        </w:drawing>
      </w:r>
    </w:p>
    <w:p>
      <w:pPr>
        <w:jc w:val="center"/>
      </w:pPr>
    </w:p>
    <w:p>
      <w:pPr>
        <w:jc w:val="center"/>
        <w:rPr>
          <w:rFonts w:ascii="Times New Roman" w:hAnsi="Times New Roman"/>
        </w:rPr>
      </w:pPr>
      <w:bookmarkStart w:id="37" w:name="场地分布图昼"/>
      <w:bookmarkEnd w:id="37"/>
      <w:r>
        <w:drawing>
          <wp:inline distT="0" distB="0" distL="0" distR="0">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2"/>
                    <a:stretch>
                      <a:fillRect/>
                    </a:stretch>
                  </pic:blipFill>
                  <pic:spPr>
                    <a:xfrm>
                      <a:off x="0" y="0"/>
                      <a:ext cx="5667375" cy="5086350"/>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pPr>
        <w:jc w:val="center"/>
        <w:rPr>
          <w:rFonts w:ascii="Times New Roman" w:hAnsi="Times New Roman"/>
        </w:rPr>
      </w:pPr>
      <w:bookmarkStart w:id="38" w:name="场地分布图夜"/>
      <w:bookmarkEnd w:id="38"/>
      <w:r>
        <w:drawing>
          <wp:inline distT="0" distB="0" distL="0" distR="0">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3"/>
                    <a:stretch>
                      <a:fillRect/>
                    </a:stretch>
                  </pic:blipFill>
                  <pic:spPr>
                    <a:xfrm>
                      <a:off x="0" y="0"/>
                      <a:ext cx="5667375" cy="5086350"/>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pPr>
        <w:jc w:val="center"/>
        <w:rPr>
          <w:rFonts w:ascii="Times New Roman" w:hAnsi="Times New Roman"/>
        </w:rPr>
      </w:pPr>
      <w:bookmarkStart w:id="39" w:name="场地噪声分布俯瞰昼"/>
      <w:bookmarkEnd w:id="39"/>
      <w:r>
        <w:drawing>
          <wp:inline distT="0" distB="0" distL="0" distR="0">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4"/>
                    <a:stretch>
                      <a:fillRect/>
                    </a:stretch>
                  </pic:blipFill>
                  <pic:spPr>
                    <a:xfrm>
                      <a:off x="0" y="0"/>
                      <a:ext cx="5667375" cy="5086350"/>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pPr>
        <w:widowControl/>
        <w:jc w:val="center"/>
        <w:rPr>
          <w:rFonts w:ascii="宋体" w:hAnsi="宋体"/>
        </w:rPr>
      </w:pPr>
      <w:bookmarkStart w:id="40" w:name="场地噪声分布俯瞰夜"/>
      <w:bookmarkEnd w:id="40"/>
      <w:r>
        <w:drawing>
          <wp:inline distT="0" distB="0" distL="0" distR="0">
            <wp:extent cx="5667375" cy="5086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5"/>
                    <a:stretch>
                      <a:fillRect/>
                    </a:stretch>
                  </pic:blipFill>
                  <pic:spPr>
                    <a:xfrm>
                      <a:off x="0" y="0"/>
                      <a:ext cx="5667375" cy="5086350"/>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pPr>
        <w:jc w:val="center"/>
        <w:rPr>
          <w:rFonts w:ascii="Times New Roman" w:hAnsi="Times New Roman"/>
          <w:b/>
          <w:color w:val="FF0000"/>
        </w:rPr>
      </w:pPr>
    </w:p>
    <w:p>
      <w:pPr>
        <w:pStyle w:val="3"/>
        <w:rPr>
          <w:sz w:val="24"/>
          <w:szCs w:val="24"/>
        </w:rPr>
      </w:pPr>
      <w:bookmarkStart w:id="41" w:name="_Toc479326729"/>
      <w:bookmarkStart w:id="42" w:name="_Toc12112"/>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pPr>
        <w:jc w:val="center"/>
        <w:rPr>
          <w:rFonts w:ascii="Times New Roman" w:hAnsi="Times New Roman"/>
        </w:rPr>
      </w:pPr>
      <w:bookmarkStart w:id="43" w:name="建筑附近声压分布图昼"/>
      <w:bookmarkEnd w:id="43"/>
      <w:r>
        <w:drawing>
          <wp:inline distT="0" distB="0" distL="0" distR="0">
            <wp:extent cx="5667375" cy="43719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6"/>
                    <a:stretch>
                      <a:fillRect/>
                    </a:stretch>
                  </pic:blipFill>
                  <pic:spPr>
                    <a:xfrm>
                      <a:off x="0" y="0"/>
                      <a:ext cx="5667375" cy="4371975"/>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pPr>
        <w:jc w:val="center"/>
        <w:rPr>
          <w:rFonts w:ascii="Times New Roman" w:hAnsi="Times New Roman"/>
        </w:rPr>
      </w:pPr>
      <w:bookmarkStart w:id="44" w:name="建筑附近声压分布图夜"/>
      <w:bookmarkEnd w:id="44"/>
      <w:r>
        <w:drawing>
          <wp:inline distT="0" distB="0" distL="0" distR="0">
            <wp:extent cx="5667375" cy="43719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6"/>
                    <a:stretch>
                      <a:fillRect/>
                    </a:stretch>
                  </pic:blipFill>
                  <pic:spPr>
                    <a:xfrm>
                      <a:off x="0" y="0"/>
                      <a:ext cx="5667375" cy="4371975"/>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pPr>
        <w:spacing w:before="240" w:line="276" w:lineRule="auto"/>
        <w:ind w:firstLine="420"/>
      </w:pPr>
      <w:r>
        <w:rPr>
          <w:rFonts w:hint="eastAsia"/>
        </w:rPr>
        <w:t>参评建筑昼间和夜间沿立面噪声分布情况，在每个计算立面上用圆圈标识出该面噪声最大值，昼间和夜间计算情况分别如下：</w:t>
      </w:r>
    </w:p>
    <w:p>
      <w:pPr>
        <w:spacing w:before="240"/>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7"/>
                    <a:stretch>
                      <a:fillRect/>
                    </a:stretch>
                  </pic:blipFill>
                  <pic:spPr>
                    <a:xfrm>
                      <a:off x="0" y="0"/>
                      <a:ext cx="3704762" cy="476190"/>
                    </a:xfrm>
                    <a:prstGeom prst="rect">
                      <a:avLst/>
                    </a:prstGeom>
                  </pic:spPr>
                </pic:pic>
              </a:graphicData>
            </a:graphic>
          </wp:inline>
        </w:drawing>
      </w:r>
    </w:p>
    <w:p>
      <w:pPr>
        <w:widowControl/>
        <w:jc w:val="center"/>
        <w:rPr>
          <w:rFonts w:ascii="宋体" w:hAnsi="宋体"/>
        </w:rPr>
      </w:pPr>
      <w:bookmarkStart w:id="45" w:name="建筑附近声压分布鸟瞰图昼"/>
      <w:r>
        <w:drawing>
          <wp:inline distT="0" distB="0" distL="0" distR="0">
            <wp:extent cx="5667375" cy="23812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8"/>
                    <a:stretch>
                      <a:fillRect/>
                    </a:stretch>
                  </pic:blipFill>
                  <pic:spPr>
                    <a:xfrm>
                      <a:off x="0" y="0"/>
                      <a:ext cx="5667375" cy="2381250"/>
                    </a:xfrm>
                    <a:prstGeom prst="rect">
                      <a:avLst/>
                    </a:prstGeom>
                  </pic:spPr>
                </pic:pic>
              </a:graphicData>
            </a:graphic>
          </wp:inline>
        </w:drawing>
      </w:r>
    </w:p>
    <w:bookmarkEnd w:id="45"/>
    <w:p>
      <w:pPr>
        <w:widowControl/>
        <w:jc w:val="center"/>
        <w:rPr>
          <w:rFonts w:ascii="宋体" w:hAnsi="宋体"/>
        </w:rPr>
      </w:pPr>
    </w:p>
    <w:p>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pPr>
        <w:widowControl/>
        <w:jc w:val="center"/>
        <w:rPr>
          <w:rFonts w:ascii="宋体" w:hAnsi="宋体"/>
        </w:rPr>
      </w:pPr>
    </w:p>
    <w:p>
      <w:pPr>
        <w:widowControl/>
        <w:jc w:val="center"/>
        <w:rPr>
          <w:rFonts w:ascii="宋体" w:hAnsi="宋体"/>
        </w:rPr>
      </w:pPr>
      <w:bookmarkStart w:id="46" w:name="建筑附近声压分布鸟瞰图夜"/>
      <w:bookmarkEnd w:id="46"/>
      <w:r>
        <w:drawing>
          <wp:inline distT="0" distB="0" distL="0" distR="0">
            <wp:extent cx="5667375" cy="23812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9"/>
                    <a:stretch>
                      <a:fillRect/>
                    </a:stretch>
                  </pic:blipFill>
                  <pic:spPr>
                    <a:xfrm>
                      <a:off x="0" y="0"/>
                      <a:ext cx="5667375" cy="2381250"/>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pPr>
        <w:widowControl/>
        <w:spacing w:before="240"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pPr>
        <w:widowControl/>
        <w:spacing w:before="240"/>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848"/>
        <w:gridCol w:w="1301"/>
        <w:gridCol w:w="1301"/>
        <w:gridCol w:w="1301"/>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建筑名称</w:t>
            </w:r>
          </w:p>
        </w:tc>
        <w:tc>
          <w:tcPr>
            <w:shd w:val="clear" w:color="auto" w:fill="E6E6E6"/>
            <w:vAlign w:val="center"/>
          </w:tcPr>
          <w:p>
            <w:pPr>
              <w:jc w:val="center"/>
              <w:rPr>
                <w:sz w:val="21"/>
                <w:szCs w:val="21"/>
              </w:rPr>
            </w:pPr>
            <w:r>
              <w:rPr>
                <w:sz w:val="21"/>
                <w:szCs w:val="21"/>
              </w:rPr>
              <w:t>时段</w:t>
            </w:r>
          </w:p>
        </w:tc>
        <w:tc>
          <w:tcPr>
            <w:shd w:val="clear" w:color="auto" w:fill="E6E6E6"/>
            <w:vAlign w:val="center"/>
          </w:tcPr>
          <w:p>
            <w:pPr>
              <w:jc w:val="center"/>
              <w:rPr>
                <w:sz w:val="21"/>
                <w:szCs w:val="21"/>
              </w:rPr>
            </w:pPr>
            <w:r>
              <w:rPr>
                <w:sz w:val="21"/>
                <w:szCs w:val="21"/>
              </w:rPr>
              <w:t>1.5米高度</w:t>
            </w:r>
            <w:r>
              <w:rPr>
                <w:sz w:val="21"/>
                <w:szCs w:val="21"/>
              </w:rPr>
              <w:br w:type="textWrapping"/>
            </w:r>
            <w:r>
              <w:rPr>
                <w:sz w:val="21"/>
                <w:szCs w:val="21"/>
              </w:rPr>
              <w:t>噪声最大值</w:t>
            </w:r>
          </w:p>
        </w:tc>
        <w:tc>
          <w:tcPr>
            <w:shd w:val="clear" w:color="auto" w:fill="E6E6E6"/>
            <w:vAlign w:val="center"/>
          </w:tcPr>
          <w:p>
            <w:pPr>
              <w:jc w:val="center"/>
              <w:rPr>
                <w:sz w:val="21"/>
                <w:szCs w:val="21"/>
              </w:rPr>
            </w:pPr>
            <w:r>
              <w:rPr>
                <w:sz w:val="21"/>
                <w:szCs w:val="21"/>
              </w:rPr>
              <w:t>2类</w:t>
            </w:r>
            <w:r>
              <w:rPr>
                <w:sz w:val="21"/>
                <w:szCs w:val="21"/>
              </w:rPr>
              <w:br w:type="textWrapping"/>
            </w:r>
            <w:r>
              <w:rPr>
                <w:sz w:val="21"/>
                <w:szCs w:val="21"/>
              </w:rPr>
              <w:t>噪声限值</w:t>
            </w:r>
          </w:p>
        </w:tc>
        <w:tc>
          <w:tcPr>
            <w:shd w:val="clear" w:color="auto" w:fill="E6E6E6"/>
            <w:vAlign w:val="center"/>
          </w:tcPr>
          <w:p>
            <w:pPr>
              <w:jc w:val="center"/>
              <w:rPr>
                <w:sz w:val="21"/>
                <w:szCs w:val="21"/>
              </w:rPr>
            </w:pPr>
            <w:r>
              <w:rPr>
                <w:sz w:val="21"/>
                <w:szCs w:val="21"/>
              </w:rPr>
              <w:t>3类</w:t>
            </w:r>
            <w:r>
              <w:rPr>
                <w:sz w:val="21"/>
                <w:szCs w:val="21"/>
              </w:rPr>
              <w:br w:type="textWrapping"/>
            </w:r>
            <w:r>
              <w:rPr>
                <w:sz w:val="21"/>
                <w:szCs w:val="21"/>
              </w:rPr>
              <w:t>噪声限值</w:t>
            </w:r>
          </w:p>
        </w:tc>
        <w:tc>
          <w:tcPr>
            <w:shd w:val="clear" w:color="auto" w:fill="E6E6E6"/>
            <w:vAlign w:val="center"/>
          </w:tcPr>
          <w:p>
            <w:pPr>
              <w:jc w:val="center"/>
              <w:rPr>
                <w:sz w:val="21"/>
                <w:szCs w:val="21"/>
              </w:rPr>
            </w:pPr>
            <w:r>
              <w:rPr>
                <w:sz w:val="21"/>
                <w:szCs w:val="21"/>
              </w:rPr>
              <w:t>得分</w:t>
            </w:r>
            <w:r>
              <w:rPr>
                <w:sz w:val="21"/>
                <w:szCs w:val="21"/>
              </w:rPr>
              <w:br w:type="textWrapping"/>
            </w:r>
            <w:r>
              <w:rPr>
                <w:sz w:val="21"/>
                <w:szCs w:val="21"/>
              </w:rPr>
              <w:t>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建筑一</w:t>
            </w:r>
          </w:p>
        </w:tc>
        <w:tc>
          <w:tcPr>
            <w:vAlign w:val="center"/>
          </w:tcPr>
          <w:p>
            <w:pPr>
              <w:jc w:val="center"/>
              <w:rPr>
                <w:sz w:val="21"/>
                <w:szCs w:val="21"/>
              </w:rPr>
            </w:pPr>
            <w:r>
              <w:rPr>
                <w:sz w:val="21"/>
                <w:szCs w:val="21"/>
              </w:rPr>
              <w:t>昼间</w:t>
            </w:r>
          </w:p>
        </w:tc>
        <w:tc>
          <w:tcPr>
            <w:vAlign w:val="center"/>
          </w:tcPr>
          <w:p>
            <w:pPr>
              <w:jc w:val="center"/>
              <w:rPr>
                <w:sz w:val="21"/>
                <w:szCs w:val="21"/>
              </w:rPr>
            </w:pPr>
            <w:r>
              <w:rPr>
                <w:sz w:val="21"/>
                <w:szCs w:val="21"/>
              </w:rPr>
              <w:t>57</w:t>
            </w:r>
          </w:p>
        </w:tc>
        <w:tc>
          <w:tcPr>
            <w:vAlign w:val="center"/>
          </w:tcPr>
          <w:p>
            <w:pPr>
              <w:jc w:val="center"/>
              <w:rPr>
                <w:sz w:val="21"/>
                <w:szCs w:val="21"/>
              </w:rPr>
            </w:pPr>
            <w:r>
              <w:rPr>
                <w:sz w:val="21"/>
                <w:szCs w:val="21"/>
              </w:rPr>
              <w:t>60</w:t>
            </w:r>
          </w:p>
        </w:tc>
        <w:tc>
          <w:tcPr>
            <w:vAlign w:val="center"/>
          </w:tcPr>
          <w:p>
            <w:pPr>
              <w:jc w:val="center"/>
              <w:rPr>
                <w:sz w:val="21"/>
                <w:szCs w:val="21"/>
              </w:rPr>
            </w:pPr>
            <w:r>
              <w:rPr>
                <w:sz w:val="21"/>
                <w:szCs w:val="21"/>
              </w:rPr>
              <w:t>65</w:t>
            </w:r>
          </w:p>
        </w:tc>
        <w:tc>
          <w:tcPr>
            <w:vMerge w:val="restart"/>
            <w:vAlign w:val="center"/>
          </w:tcPr>
          <w:p>
            <w:pPr>
              <w:jc w:val="center"/>
              <w:rPr>
                <w:sz w:val="21"/>
                <w:szCs w:val="21"/>
              </w:rPr>
            </w:pPr>
            <w:r>
              <w:rPr>
                <w:sz w:val="21"/>
                <w:szCs w:val="21"/>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p>
        </w:tc>
        <w:tc>
          <w:tcPr>
            <w:vAlign w:val="center"/>
          </w:tcPr>
          <w:p>
            <w:pPr>
              <w:jc w:val="center"/>
              <w:rPr>
                <w:sz w:val="21"/>
                <w:szCs w:val="21"/>
              </w:rPr>
            </w:pPr>
            <w:r>
              <w:rPr>
                <w:sz w:val="21"/>
                <w:szCs w:val="21"/>
              </w:rPr>
              <w:t>夜间</w:t>
            </w:r>
          </w:p>
        </w:tc>
        <w:tc>
          <w:tcPr>
            <w:vAlign w:val="center"/>
          </w:tcPr>
          <w:p>
            <w:pPr>
              <w:jc w:val="center"/>
              <w:rPr>
                <w:sz w:val="21"/>
                <w:szCs w:val="21"/>
              </w:rPr>
            </w:pPr>
            <w:r>
              <w:rPr>
                <w:sz w:val="21"/>
                <w:szCs w:val="21"/>
              </w:rPr>
              <w:t>48</w:t>
            </w:r>
          </w:p>
        </w:tc>
        <w:tc>
          <w:tcPr>
            <w:vAlign w:val="center"/>
          </w:tcPr>
          <w:p>
            <w:pPr>
              <w:jc w:val="center"/>
              <w:rPr>
                <w:sz w:val="21"/>
                <w:szCs w:val="21"/>
              </w:rPr>
            </w:pPr>
            <w:r>
              <w:rPr>
                <w:sz w:val="21"/>
                <w:szCs w:val="21"/>
              </w:rPr>
              <w:t>50</w:t>
            </w:r>
          </w:p>
        </w:tc>
        <w:tc>
          <w:tcPr>
            <w:vAlign w:val="center"/>
          </w:tcPr>
          <w:p>
            <w:pPr>
              <w:jc w:val="center"/>
              <w:rPr>
                <w:sz w:val="21"/>
                <w:szCs w:val="21"/>
              </w:rPr>
            </w:pPr>
            <w:r>
              <w:rPr>
                <w:sz w:val="21"/>
                <w:szCs w:val="21"/>
              </w:rPr>
              <w:t>55</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建筑二</w:t>
            </w:r>
          </w:p>
        </w:tc>
        <w:tc>
          <w:tcPr>
            <w:vAlign w:val="center"/>
          </w:tcPr>
          <w:p>
            <w:pPr>
              <w:jc w:val="center"/>
              <w:rPr>
                <w:sz w:val="21"/>
                <w:szCs w:val="21"/>
              </w:rPr>
            </w:pPr>
            <w:r>
              <w:rPr>
                <w:sz w:val="21"/>
                <w:szCs w:val="21"/>
              </w:rPr>
              <w:t>昼间</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60</w:t>
            </w:r>
          </w:p>
        </w:tc>
        <w:tc>
          <w:tcPr>
            <w:vAlign w:val="center"/>
          </w:tcPr>
          <w:p>
            <w:pPr>
              <w:jc w:val="center"/>
              <w:rPr>
                <w:sz w:val="21"/>
                <w:szCs w:val="21"/>
              </w:rPr>
            </w:pPr>
            <w:r>
              <w:rPr>
                <w:sz w:val="21"/>
                <w:szCs w:val="21"/>
              </w:rPr>
              <w:t>65</w:t>
            </w:r>
          </w:p>
        </w:tc>
        <w:tc>
          <w:tcPr>
            <w:vMerge w:val="restart"/>
            <w:vAlign w:val="center"/>
          </w:tcPr>
          <w:p>
            <w:pPr>
              <w:jc w:val="center"/>
              <w:rPr>
                <w:sz w:val="21"/>
                <w:szCs w:val="21"/>
              </w:rPr>
            </w:pPr>
            <w:r>
              <w:rPr>
                <w:sz w:val="21"/>
                <w:szCs w:val="21"/>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p>
        </w:tc>
        <w:tc>
          <w:tcPr>
            <w:vAlign w:val="center"/>
          </w:tcPr>
          <w:p>
            <w:pPr>
              <w:jc w:val="center"/>
              <w:rPr>
                <w:sz w:val="21"/>
                <w:szCs w:val="21"/>
              </w:rPr>
            </w:pPr>
            <w:r>
              <w:rPr>
                <w:sz w:val="21"/>
                <w:szCs w:val="21"/>
              </w:rPr>
              <w:t>夜间</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50</w:t>
            </w:r>
          </w:p>
        </w:tc>
        <w:tc>
          <w:tcPr>
            <w:vAlign w:val="center"/>
          </w:tcPr>
          <w:p>
            <w:pPr>
              <w:jc w:val="center"/>
              <w:rPr>
                <w:sz w:val="21"/>
                <w:szCs w:val="21"/>
              </w:rPr>
            </w:pPr>
            <w:r>
              <w:rPr>
                <w:sz w:val="21"/>
                <w:szCs w:val="21"/>
              </w:rPr>
              <w:t>55</w:t>
            </w:r>
          </w:p>
        </w:tc>
        <w:tc>
          <w:tcPr>
            <w:vMerge w:val="continue"/>
            <w:vAlign w:val="center"/>
          </w:tcPr>
          <w:p>
            <w:pPr>
              <w:jc w:val="center"/>
              <w:rPr>
                <w:sz w:val="21"/>
                <w:szCs w:val="21"/>
              </w:rPr>
            </w:pPr>
          </w:p>
        </w:tc>
      </w:tr>
    </w:tbl>
    <w:p>
      <w:pPr>
        <w:widowControl/>
        <w:jc w:val="center"/>
        <w:rPr>
          <w:rFonts w:ascii="Times New Roman" w:hAnsi="Times New Roman"/>
        </w:rPr>
      </w:pPr>
      <w:bookmarkStart w:id="47" w:name="建筑物噪声最大值统计表格"/>
      <w:bookmarkEnd w:id="47"/>
    </w:p>
    <w:p>
      <w:pPr>
        <w:pStyle w:val="2"/>
        <w:rPr>
          <w:sz w:val="28"/>
          <w:szCs w:val="28"/>
        </w:rPr>
      </w:pPr>
      <w:bookmarkStart w:id="48" w:name="_Toc479326730"/>
      <w:bookmarkStart w:id="49" w:name="_Toc13468"/>
      <w:r>
        <w:rPr>
          <w:rFonts w:hint="eastAsia"/>
          <w:sz w:val="28"/>
          <w:szCs w:val="28"/>
        </w:rPr>
        <w:t>5.结论</w:t>
      </w:r>
      <w:bookmarkEnd w:id="48"/>
      <w:bookmarkEnd w:id="49"/>
    </w:p>
    <w:p>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pPr>
        <w:widowControl/>
        <w:spacing w:before="240"/>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pPr>
            <w:r>
              <w:rPr>
                <w:rFonts w:hint="eastAsia"/>
              </w:rPr>
              <w:t>昼间</w:t>
            </w:r>
          </w:p>
        </w:tc>
        <w:tc>
          <w:tcPr>
            <w:tcW w:w="1659" w:type="dxa"/>
            <w:tcBorders>
              <w:top w:val="single" w:color="000000" w:themeColor="text1" w:sz="6" w:space="0"/>
            </w:tcBorders>
          </w:tcPr>
          <w:p>
            <w:pPr>
              <w:jc w:val="center"/>
              <w:rPr>
                <w:bCs/>
              </w:rPr>
            </w:pPr>
            <w:bookmarkStart w:id="50" w:name="昼间噪声最大值"/>
            <w:r>
              <w:rPr>
                <w:bCs/>
              </w:rPr>
              <w:t>57</w:t>
            </w:r>
            <w:bookmarkEnd w:id="50"/>
          </w:p>
        </w:tc>
        <w:tc>
          <w:tcPr>
            <w:tcW w:w="1659" w:type="dxa"/>
            <w:tcBorders>
              <w:top w:val="single" w:color="000000" w:themeColor="text1" w:sz="6" w:space="0"/>
            </w:tcBorders>
          </w:tcPr>
          <w:p>
            <w:pPr>
              <w:jc w:val="center"/>
            </w:pPr>
            <w:r>
              <w:rPr>
                <w:bCs/>
              </w:rPr>
              <w:t>60</w:t>
            </w:r>
          </w:p>
        </w:tc>
        <w:tc>
          <w:tcPr>
            <w:tcW w:w="1659" w:type="dxa"/>
            <w:tcBorders>
              <w:top w:val="single" w:color="000000" w:themeColor="text1" w:sz="6" w:space="0"/>
            </w:tcBorders>
          </w:tcPr>
          <w:p>
            <w:pPr>
              <w:jc w:val="center"/>
            </w:pPr>
            <w:r>
              <w:rPr>
                <w:bCs/>
              </w:rPr>
              <w:t>65</w:t>
            </w:r>
          </w:p>
        </w:tc>
        <w:tc>
          <w:tcPr>
            <w:tcW w:w="1660" w:type="dxa"/>
            <w:vMerge w:val="restart"/>
            <w:tcBorders>
              <w:top w:val="single" w:color="000000" w:themeColor="text1" w:sz="6" w:space="0"/>
            </w:tcBorders>
            <w:vAlign w:val="center"/>
          </w:tcPr>
          <w:p>
            <w:pPr>
              <w:jc w:val="center"/>
              <w:rPr>
                <w:b/>
                <w:bCs/>
              </w:rPr>
            </w:pPr>
            <w:bookmarkStart w:id="51" w:name="得分情况"/>
            <w:r>
              <w:rPr>
                <w:b/>
                <w:bCs/>
              </w:rPr>
              <w:t>10</w:t>
            </w:r>
            <w:bookmarkEnd w:id="51"/>
            <w:r>
              <w:rPr>
                <w:rFonts w:hint="eastAsia"/>
                <w:b/>
                <w:bCs/>
              </w:rPr>
              <w:t>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pPr>
            <w:r>
              <w:rPr>
                <w:rFonts w:hint="eastAsia"/>
              </w:rPr>
              <w:t>夜间</w:t>
            </w:r>
          </w:p>
        </w:tc>
        <w:tc>
          <w:tcPr>
            <w:tcW w:w="1659" w:type="dxa"/>
          </w:tcPr>
          <w:p>
            <w:pPr>
              <w:jc w:val="center"/>
              <w:rPr>
                <w:bCs/>
              </w:rPr>
            </w:pPr>
            <w:bookmarkStart w:id="52" w:name="夜间噪声最大值"/>
            <w:r>
              <w:rPr>
                <w:bCs/>
              </w:rPr>
              <w:t>48</w:t>
            </w:r>
            <w:bookmarkEnd w:id="52"/>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pStyle w:val="33"/>
        <w:spacing w:before="240"/>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4" w:name="得分结论"/>
      <w:r>
        <w:rPr>
          <w:b/>
          <w:sz w:val="21"/>
          <w:szCs w:val="21"/>
        </w:rPr>
        <w:t>得 10 分</w:t>
      </w:r>
      <w:bookmarkEnd w:id="54"/>
      <w:r>
        <w:rPr>
          <w:rFonts w:hint="eastAsia"/>
          <w:b/>
          <w:sz w:val="21"/>
          <w:szCs w:val="21"/>
        </w:rPr>
        <w:t>。</w:t>
      </w:r>
    </w:p>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4</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w:instrTex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instrText xml:space="preserve">6</w:instrText>
    </w:r>
    <w:r>
      <w:rPr>
        <w:rFonts w:ascii="Times New Roman" w:hAnsi="Times New Roman"/>
        <w:kern w:val="0"/>
        <w:sz w:val="15"/>
        <w:szCs w:val="13"/>
        <w:lang w:val="en-GB"/>
      </w:rPr>
      <w:fldChar w:fldCharType="end"/>
    </w:r>
    <w:r>
      <w:rPr>
        <w:rFonts w:ascii="Times New Roman" w:hAnsi="Times New Roman"/>
        <w:kern w:val="0"/>
        <w:sz w:val="15"/>
        <w:szCs w:val="13"/>
        <w:lang w:val="en-GB"/>
      </w:rPr>
      <w:instrText xml:space="preserve">\* Arabic  \* MERGEFORMAT -2</w:instrText>
    </w:r>
    <w:r>
      <w:rPr>
        <w:rFonts w:ascii="Times New Roman" w:hAnsi="Times New Roman"/>
        <w:kern w:val="0"/>
        <w:sz w:val="15"/>
        <w:szCs w:val="13"/>
        <w:lang w:val="en-GB"/>
      </w:rPr>
      <w:fldChar w:fldCharType="separate"/>
    </w:r>
    <w:r>
      <w:rPr>
        <w:rFonts w:ascii="Times New Roman" w:hAnsi="Times New Roman"/>
        <w:b/>
        <w:kern w:val="0"/>
        <w:sz w:val="15"/>
        <w:szCs w:val="13"/>
        <w:lang w:val="en-GB"/>
      </w:rPr>
      <w:t>4</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1146074670" name="Picture 114607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74670" name="Picture 114607467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compat>
    <w:useFELayout/>
    <w:compatSetting w:name="compatibilityMode" w:uri="http://schemas.microsoft.com/office/word" w:val="12"/>
  </w:compat>
  <w:docVars>
    <w:docVar w:name="commondata" w:val="eyJoZGlkIjoiYjhmZGMwZmM1NWQ5MTViODc2N2U5NjdlZDg5MWU0NWIifQ=="/>
  </w:docVars>
  <w:rsids>
    <w:rsidRoot w:val="00217F62"/>
    <w:rsid w:val="001915A3"/>
    <w:rsid w:val="00217F62"/>
    <w:rsid w:val="00A906D8"/>
    <w:rsid w:val="00AB5A74"/>
    <w:rsid w:val="00F071AE"/>
    <w:rsid w:val="2F0E24B5"/>
    <w:rsid w:val="7FFB6993"/>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style>
  <w:style w:type="paragraph" w:styleId="8">
    <w:name w:val="toc 3"/>
    <w:basedOn w:val="1"/>
    <w:next w:val="1"/>
    <w:autoRedefine/>
    <w:semiHidden/>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uiPriority w:val="0"/>
    <w:pPr>
      <w:tabs>
        <w:tab w:val="center" w:pos="4153"/>
        <w:tab w:val="right" w:pos="8306"/>
      </w:tabs>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autoRedefine/>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Hyperlink"/>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字符"/>
    <w:link w:val="11"/>
    <w:uiPriority w:val="99"/>
    <w:rPr>
      <w:sz w:val="18"/>
      <w:szCs w:val="18"/>
    </w:rPr>
  </w:style>
  <w:style w:type="character" w:customStyle="1" w:styleId="22">
    <w:name w:val="页脚 字符"/>
    <w:link w:val="10"/>
    <w:uiPriority w:val="99"/>
    <w:rPr>
      <w:sz w:val="18"/>
      <w:szCs w:val="18"/>
    </w:rPr>
  </w:style>
  <w:style w:type="character" w:customStyle="1" w:styleId="23">
    <w:name w:val="标题 1 字符"/>
    <w:link w:val="2"/>
    <w:uiPriority w:val="9"/>
    <w:rPr>
      <w:rFonts w:ascii="微软雅黑" w:hAnsi="微软雅黑" w:eastAsia="微软雅黑" w:cs="微软雅黑"/>
      <w:b/>
      <w:bCs/>
      <w:kern w:val="44"/>
      <w:sz w:val="44"/>
      <w:szCs w:val="44"/>
    </w:rPr>
  </w:style>
  <w:style w:type="character" w:customStyle="1" w:styleId="24">
    <w:name w:val="标题 2 字符"/>
    <w:link w:val="3"/>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uiPriority w:val="9"/>
    <w:rPr>
      <w:b/>
      <w:bCs/>
      <w:sz w:val="32"/>
      <w:szCs w:val="32"/>
    </w:rPr>
  </w:style>
  <w:style w:type="character" w:customStyle="1" w:styleId="27">
    <w:name w:val="标题 4 字符"/>
    <w:link w:val="5"/>
    <w:uiPriority w:val="9"/>
    <w:rPr>
      <w:rFonts w:ascii="Cambria" w:hAnsi="Cambria" w:eastAsia="宋体" w:cs="Times New Roman"/>
      <w:b/>
      <w:bCs/>
      <w:sz w:val="28"/>
      <w:szCs w:val="28"/>
    </w:rPr>
  </w:style>
  <w:style w:type="paragraph" w:customStyle="1" w:styleId="28">
    <w:name w:val="Defaul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uiPriority w:val="9"/>
    <w:rPr>
      <w:b/>
      <w:bCs/>
      <w:sz w:val="28"/>
      <w:szCs w:val="28"/>
    </w:rPr>
  </w:style>
  <w:style w:type="character" w:customStyle="1" w:styleId="30">
    <w:name w:val="批注文字 字符"/>
    <w:basedOn w:val="17"/>
    <w:link w:val="7"/>
    <w:semiHidden/>
    <w:uiPriority w:val="99"/>
  </w:style>
  <w:style w:type="character" w:customStyle="1" w:styleId="31">
    <w:name w:val="批注主题 字符"/>
    <w:link w:val="14"/>
    <w:semiHidden/>
    <w:uiPriority w:val="99"/>
    <w:rPr>
      <w:b/>
      <w:bCs/>
    </w:rPr>
  </w:style>
  <w:style w:type="character" w:customStyle="1" w:styleId="32">
    <w:name w:val="批注框文本 字符"/>
    <w:link w:val="9"/>
    <w:semiHidden/>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wmf"/><Relationship Id="rId15" Type="http://schemas.openxmlformats.org/officeDocument/2006/relationships/image" Target="media/image8.bmp"/><Relationship Id="rId14" Type="http://schemas.openxmlformats.org/officeDocument/2006/relationships/image" Target="media/image7.bmp"/><Relationship Id="rId13" Type="http://schemas.openxmlformats.org/officeDocument/2006/relationships/image" Target="media/image6.bmp"/><Relationship Id="rId12" Type="http://schemas.openxmlformats.org/officeDocument/2006/relationships/image" Target="media/image5.bmp"/><Relationship Id="rId11" Type="http://schemas.openxmlformats.org/officeDocument/2006/relationships/image" Target="media/image4.jpeg"/><Relationship Id="rId10" Type="http://schemas.openxmlformats.org/officeDocument/2006/relationships/image" Target="media/image3.wmf"/><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2400-DB89-4722-AA15-1CDA2B25710E}">
  <ds:schemaRefs/>
</ds:datastoreItem>
</file>

<file path=docProps/app.xml><?xml version="1.0" encoding="utf-8"?>
<Properties xmlns="http://schemas.openxmlformats.org/officeDocument/2006/extended-properties" xmlns:vt="http://schemas.openxmlformats.org/officeDocument/2006/docPropsVTypes">
  <Template>建筑室外声环境模拟报告书</Template>
  <Company>北京绿建软件有限公司</Company>
  <Pages>6</Pages>
  <Words>582</Words>
  <Characters>3320</Characters>
  <Lines>27</Lines>
  <Paragraphs>7</Paragraphs>
  <TotalTime>0</TotalTime>
  <ScaleCrop>false</ScaleCrop>
  <LinksUpToDate>false</LinksUpToDate>
  <CharactersWithSpaces>3895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2020-11-26T09:44:00Z</dcterms:created>
  <dc:creator>jinj</dc:creator>
  <cp:lastModifiedBy>叶震</cp:lastModifiedBy>
  <cp:lastPrinted>2016-08-03T02:42:00Z</cp:lastPrinted>
  <dcterms:modified xsi:type="dcterms:W3CDTF">2024-01-28T08:33:37Z</dcterms:modified>
  <dc:title>郑岗村总图_t6室外噪声分析报告</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0443097399244BD08718EEA9C123CEEE_12</vt:lpwstr>
  </property>
</Properties>
</file>