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  <w:lang w:val="en-US" w:eastAsia="zh-CN"/>
        </w:rPr>
        <w:t>选址位于郑岗村，场地周围无污染，能够很好的进行相关的建筑的新建。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场地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  <w:lang w:val="en-US" w:eastAsia="zh-CN"/>
        </w:rPr>
        <w:t>无</w:t>
      </w:r>
      <w:r>
        <w:rPr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滑坡、泥石流等地质危险地段，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  <w:lang w:val="en-US" w:eastAsia="zh-CN"/>
        </w:rPr>
        <w:t>无</w:t>
      </w:r>
      <w:r>
        <w:rPr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易发生洪涝地区；场地无危险化学品、易燃易爆危险源的威胁，无电磁辐射、含氡土壤的危害。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zlkM2U1N2JhY2Q5NTc2ZWRhNzVmNWYxZjhmZjAifQ=="/>
  </w:docVars>
  <w:rsids>
    <w:rsidRoot w:val="7AF66D2A"/>
    <w:rsid w:val="7A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2024-02-29T08:47:00Z</dcterms:created>
  <dc:creator>X</dc:creator>
  <cp:lastModifiedBy>X</cp:lastModifiedBy>
  <dcterms:modified xsi:type="dcterms:W3CDTF">2024-02-29T08:48:52Z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BED56F91EAD64EB58DA471032274CF70_11</vt:lpwstr>
  </property>
</Properties>
</file>