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碳排放</w:t>
      </w:r>
      <w:r>
        <w:rPr>
          <w:rFonts w:hint="eastAsia" w:ascii="黑体" w:hAnsi="宋体" w:eastAsia="黑体"/>
          <w:b/>
          <w:bCs/>
          <w:sz w:val="72"/>
          <w:szCs w:val="72"/>
        </w:rPr>
        <w:t>分析报告书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建筑全生命周期碳排放分析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建筑生产运输碳排放量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3070225"/>
            <wp:effectExtent l="0" t="0" r="1397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建筑建造拆除碳排放量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47335" cy="1225550"/>
            <wp:effectExtent l="0" t="0" r="1905" b="889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建筑运行碳排放量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697480"/>
            <wp:effectExtent l="0" t="0" r="1905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建筑全生命周期碳排放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209800"/>
            <wp:effectExtent l="0" t="0" r="508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建筑碳汇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1299845"/>
            <wp:effectExtent l="0" t="0" r="5715" b="10795"/>
            <wp:docPr id="4" name="图片 4" descr="建筑碳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建筑碳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建筑全年负荷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建筑全年负荷分项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2700655"/>
            <wp:effectExtent l="0" t="0" r="7620" b="12065"/>
            <wp:docPr id="5" name="图片 5" descr="建筑全年负荷分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建筑全年负荷分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建筑全年负荷曲线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536825"/>
            <wp:effectExtent l="0" t="0" r="5080" b="8255"/>
            <wp:docPr id="6" name="图片 6" descr="建筑全年负荷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建筑全年负荷曲线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D6B7"/>
    <w:multiLevelType w:val="singleLevel"/>
    <w:tmpl w:val="B04DD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1B3B24"/>
    <w:multiLevelType w:val="singleLevel"/>
    <w:tmpl w:val="EE1B3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22644D"/>
    <w:multiLevelType w:val="singleLevel"/>
    <w:tmpl w:val="732264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306978D8"/>
    <w:rsid w:val="01F11601"/>
    <w:rsid w:val="22B80012"/>
    <w:rsid w:val="306978D8"/>
    <w:rsid w:val="5E5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2024-01-05T07:45:00Z</dcterms:created>
  <dc:creator>蛋炒饭</dc:creator>
  <cp:lastModifiedBy>蛋炒饭</cp:lastModifiedBy>
  <dcterms:modified xsi:type="dcterms:W3CDTF">2024-01-07T06:42:55Z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D2F5CFA7504E47AFBE790E37E676A482_11</vt:lpwstr>
  </property>
</Properties>
</file>