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5"/>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沈阳</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2024年2月20日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952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T13128669343</w:t>
            </w:r>
            <w:bookmarkEnd w:id="9"/>
          </w:p>
        </w:tc>
      </w:tr>
    </w:tbl>
    <w:p>
      <w:pPr>
        <w:spacing w:line="1000" w:lineRule="exact"/>
        <w:jc w:val="center"/>
        <w:rPr>
          <w:rFonts w:ascii="宋体" w:hAnsi="宋体"/>
          <w:b/>
          <w:bCs/>
          <w:sz w:val="32"/>
          <w:szCs w:val="32"/>
        </w:rPr>
      </w:pPr>
      <w:bookmarkStart w:id="39" w:name="_GoBack"/>
      <w:bookmarkEnd w:id="39"/>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pBdr>
          <w:bottom w:val="none" w:color="auto" w:sz="0" w:space="0"/>
        </w:pBdr>
        <w:tabs>
          <w:tab w:val="clear" w:pos="4153"/>
          <w:tab w:val="clear" w:pos="8306"/>
        </w:tabs>
        <w:snapToGrid/>
        <w:rPr>
          <w:rFonts w:ascii="宋体" w:hAnsi="宋体"/>
          <w:szCs w:val="20"/>
        </w:rPr>
      </w:pPr>
    </w:p>
    <w:p>
      <w:pPr>
        <w:pStyle w:val="17"/>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3"/>
        </w:rPr>
        <w:t>1</w:t>
      </w:r>
      <w:r>
        <w:rPr>
          <w:rFonts w:asciiTheme="minorHAnsi" w:hAnsiTheme="minorHAnsi" w:eastAsiaTheme="minorEastAsia" w:cstheme="minorBidi"/>
          <w:b w:val="0"/>
          <w:bCs w:val="0"/>
          <w:szCs w:val="22"/>
        </w:rPr>
        <w:tab/>
      </w:r>
      <w:r>
        <w:rPr>
          <w:rStyle w:val="23"/>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3"/>
        </w:rPr>
        <w:t>2</w:t>
      </w:r>
      <w:r>
        <w:rPr>
          <w:rFonts w:asciiTheme="minorHAnsi" w:hAnsiTheme="minorHAnsi" w:eastAsiaTheme="minorEastAsia" w:cstheme="minorBidi"/>
          <w:b w:val="0"/>
          <w:bCs w:val="0"/>
          <w:szCs w:val="22"/>
        </w:rPr>
        <w:tab/>
      </w:r>
      <w:r>
        <w:rPr>
          <w:rStyle w:val="23"/>
          <w:rFonts w:hint="eastAsia"/>
        </w:rPr>
        <w:t>标准依据</w:t>
      </w:r>
      <w:r>
        <w:tab/>
      </w:r>
      <w:r>
        <w:fldChar w:fldCharType="begin"/>
      </w:r>
      <w:r>
        <w:instrText xml:space="preserve"> PAGEREF _Toc16494747 \h </w:instrText>
      </w:r>
      <w:r>
        <w:fldChar w:fldCharType="separate"/>
      </w:r>
      <w:r>
        <w:t>4</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3"/>
        </w:rPr>
        <w:t>3</w:t>
      </w:r>
      <w:r>
        <w:rPr>
          <w:rFonts w:asciiTheme="minorHAnsi" w:hAnsiTheme="minorHAnsi" w:eastAsiaTheme="minorEastAsia" w:cstheme="minorBidi"/>
          <w:b w:val="0"/>
          <w:bCs w:val="0"/>
          <w:szCs w:val="22"/>
        </w:rPr>
        <w:tab/>
      </w:r>
      <w:r>
        <w:rPr>
          <w:rStyle w:val="23"/>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3"/>
        </w:rPr>
        <w:t>4</w:t>
      </w:r>
      <w:r>
        <w:rPr>
          <w:rFonts w:asciiTheme="minorHAnsi" w:hAnsiTheme="minorHAnsi" w:eastAsiaTheme="minorEastAsia" w:cstheme="minorBidi"/>
          <w:b w:val="0"/>
          <w:bCs w:val="0"/>
          <w:szCs w:val="22"/>
        </w:rPr>
        <w:tab/>
      </w:r>
      <w:r>
        <w:rPr>
          <w:rStyle w:val="23"/>
          <w:rFonts w:hint="eastAsia"/>
        </w:rPr>
        <w:t>计算参数</w:t>
      </w:r>
      <w:r>
        <w:tab/>
      </w:r>
      <w:r>
        <w:fldChar w:fldCharType="begin"/>
      </w:r>
      <w:r>
        <w:instrText xml:space="preserve"> PAGEREF _Toc16494749 \h </w:instrText>
      </w:r>
      <w:r>
        <w:fldChar w:fldCharType="separate"/>
      </w:r>
      <w:r>
        <w:t>5</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3"/>
          <w:lang w:val="en-GB"/>
        </w:rPr>
        <w:t>4.1</w:t>
      </w:r>
      <w:r>
        <w:rPr>
          <w:rFonts w:asciiTheme="minorHAnsi" w:hAnsiTheme="minorHAnsi" w:eastAsiaTheme="minorEastAsia" w:cstheme="minorBidi"/>
          <w:szCs w:val="22"/>
        </w:rPr>
        <w:tab/>
      </w:r>
      <w:r>
        <w:rPr>
          <w:rStyle w:val="23"/>
          <w:rFonts w:hint="eastAsia"/>
        </w:rPr>
        <w:t>典型气象日气象参数</w:t>
      </w:r>
      <w:r>
        <w:tab/>
      </w:r>
      <w:r>
        <w:fldChar w:fldCharType="begin"/>
      </w:r>
      <w:r>
        <w:instrText xml:space="preserve"> PAGEREF _Toc16494750 \h </w:instrText>
      </w:r>
      <w:r>
        <w:fldChar w:fldCharType="separate"/>
      </w:r>
      <w:r>
        <w:t>5</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3"/>
          <w:lang w:val="en-GB"/>
        </w:rPr>
        <w:t>4.2</w:t>
      </w:r>
      <w:r>
        <w:rPr>
          <w:rFonts w:asciiTheme="minorHAnsi" w:hAnsiTheme="minorHAnsi" w:eastAsiaTheme="minorEastAsia" w:cstheme="minorBidi"/>
          <w:szCs w:val="22"/>
        </w:rPr>
        <w:tab/>
      </w:r>
      <w:r>
        <w:rPr>
          <w:rStyle w:val="23"/>
          <w:rFonts w:hint="eastAsia"/>
        </w:rPr>
        <w:t>渗透面夏季逐时蒸发量</w:t>
      </w:r>
      <w:r>
        <w:tab/>
      </w:r>
      <w:r>
        <w:fldChar w:fldCharType="begin"/>
      </w:r>
      <w:r>
        <w:instrText xml:space="preserve"> PAGEREF _Toc16494751 \h </w:instrText>
      </w:r>
      <w:r>
        <w:fldChar w:fldCharType="separate"/>
      </w:r>
      <w:r>
        <w:t>5</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3"/>
        </w:rPr>
        <w:t>5</w:t>
      </w:r>
      <w:r>
        <w:rPr>
          <w:rFonts w:asciiTheme="minorHAnsi" w:hAnsiTheme="minorHAnsi" w:eastAsiaTheme="minorEastAsia" w:cstheme="minorBidi"/>
          <w:b w:val="0"/>
          <w:bCs w:val="0"/>
          <w:szCs w:val="22"/>
        </w:rPr>
        <w:tab/>
      </w:r>
      <w:r>
        <w:rPr>
          <w:rStyle w:val="23"/>
          <w:rFonts w:hint="eastAsia"/>
        </w:rPr>
        <w:t>指标概览</w:t>
      </w:r>
      <w:r>
        <w:tab/>
      </w:r>
      <w:r>
        <w:fldChar w:fldCharType="begin"/>
      </w:r>
      <w:r>
        <w:instrText xml:space="preserve"> PAGEREF _Toc16494752 \h </w:instrText>
      </w:r>
      <w:r>
        <w:fldChar w:fldCharType="separate"/>
      </w:r>
      <w:r>
        <w:t>6</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3"/>
          <w:lang w:val="en-GB"/>
        </w:rPr>
        <w:t>5.1</w:t>
      </w:r>
      <w:r>
        <w:rPr>
          <w:rFonts w:asciiTheme="minorHAnsi" w:hAnsiTheme="minorHAnsi" w:eastAsiaTheme="minorEastAsia" w:cstheme="minorBidi"/>
          <w:szCs w:val="22"/>
        </w:rPr>
        <w:tab/>
      </w:r>
      <w:r>
        <w:rPr>
          <w:rStyle w:val="23"/>
          <w:rFonts w:hint="eastAsia"/>
        </w:rPr>
        <w:t>建筑列表</w:t>
      </w:r>
      <w:r>
        <w:tab/>
      </w:r>
      <w:r>
        <w:fldChar w:fldCharType="begin"/>
      </w:r>
      <w:r>
        <w:instrText xml:space="preserve"> PAGEREF _Toc16494753 \h </w:instrText>
      </w:r>
      <w:r>
        <w:fldChar w:fldCharType="separate"/>
      </w:r>
      <w:r>
        <w:t>6</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3"/>
          <w:lang w:val="en-GB"/>
        </w:rPr>
        <w:t>5.2</w:t>
      </w:r>
      <w:r>
        <w:rPr>
          <w:rFonts w:asciiTheme="minorHAnsi" w:hAnsiTheme="minorHAnsi" w:eastAsiaTheme="minorEastAsia" w:cstheme="minorBidi"/>
          <w:szCs w:val="22"/>
        </w:rPr>
        <w:tab/>
      </w:r>
      <w:r>
        <w:rPr>
          <w:rStyle w:val="23"/>
          <w:rFonts w:hint="eastAsia"/>
        </w:rPr>
        <w:t>住区指标</w:t>
      </w:r>
      <w:r>
        <w:tab/>
      </w:r>
      <w:r>
        <w:fldChar w:fldCharType="begin"/>
      </w:r>
      <w:r>
        <w:instrText xml:space="preserve"> PAGEREF _Toc16494754 \h </w:instrText>
      </w:r>
      <w:r>
        <w:fldChar w:fldCharType="separate"/>
      </w:r>
      <w:r>
        <w:t>6</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3"/>
        </w:rPr>
        <w:t>6</w:t>
      </w:r>
      <w:r>
        <w:rPr>
          <w:rFonts w:asciiTheme="minorHAnsi" w:hAnsiTheme="minorHAnsi" w:eastAsiaTheme="minorEastAsia" w:cstheme="minorBidi"/>
          <w:b w:val="0"/>
          <w:bCs w:val="0"/>
          <w:szCs w:val="22"/>
        </w:rPr>
        <w:tab/>
      </w:r>
      <w:r>
        <w:rPr>
          <w:rStyle w:val="23"/>
          <w:rFonts w:hint="eastAsia"/>
        </w:rPr>
        <w:t>计算结果</w:t>
      </w:r>
      <w:r>
        <w:tab/>
      </w:r>
      <w:r>
        <w:fldChar w:fldCharType="begin"/>
      </w:r>
      <w:r>
        <w:instrText xml:space="preserve"> PAGEREF _Toc16494755 \h </w:instrText>
      </w:r>
      <w:r>
        <w:fldChar w:fldCharType="separate"/>
      </w:r>
      <w:r>
        <w:t>7</w:t>
      </w:r>
      <w:r>
        <w:fldChar w:fldCharType="end"/>
      </w:r>
      <w:r>
        <w:fldChar w:fldCharType="end"/>
      </w:r>
    </w:p>
    <w:p>
      <w:pPr>
        <w:pStyle w:val="17"/>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7"/>
      </w:pPr>
    </w:p>
    <w:p>
      <w:pPr>
        <w:pStyle w:val="2"/>
      </w:pPr>
      <w:bookmarkStart w:id="11" w:name="_Toc16494746"/>
      <w:r>
        <w:rPr>
          <w:rFonts w:hint="eastAsia"/>
        </w:rPr>
        <w:t>住区概况</w:t>
      </w:r>
      <w:bookmarkEnd w:id="11"/>
    </w:p>
    <w:tbl>
      <w:tblPr>
        <w:tblStyle w:val="19"/>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沈阳</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41.80</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123.42</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ID</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rPr>
          <w:lang w:val="en-US"/>
        </w:rPr>
        <w:drawing>
          <wp:inline distT="0" distB="0" distL="0" distR="0">
            <wp:extent cx="5667375" cy="27336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2733675"/>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rPr>
          <w:lang w:val="en-US"/>
        </w:rPr>
        <w:drawing>
          <wp:inline distT="0" distB="0" distL="0" distR="0">
            <wp:extent cx="5667375" cy="27336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2733675"/>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94747"/>
      <w:bookmarkStart w:id="23" w:name="TitleFormat"/>
      <w:r>
        <w:rPr>
          <w:rFonts w:hint="eastAsia"/>
        </w:rPr>
        <w:t>标准依据</w:t>
      </w:r>
      <w:bookmarkEnd w:id="22"/>
    </w:p>
    <w:bookmarkEnd w:id="23"/>
    <w:p>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4" w:name="_Toc16494748"/>
      <w:r>
        <w:rPr>
          <w:rFonts w:hint="eastAsia"/>
        </w:rPr>
        <w:t>计算方法</w:t>
      </w:r>
      <w:bookmarkEnd w:id="24"/>
    </w:p>
    <w:p>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6" w:name="_Toc16494749"/>
      <w:r>
        <w:rPr>
          <w:rFonts w:hint="eastAsia"/>
        </w:rPr>
        <w:t>计算参数</w:t>
      </w:r>
      <w:bookmarkEnd w:id="26"/>
    </w:p>
    <w:p>
      <w:pPr>
        <w:pStyle w:val="4"/>
      </w:pPr>
      <w:bookmarkStart w:id="27" w:name="_Toc16494750"/>
      <w:r>
        <w:rPr>
          <w:rFonts w:hint="eastAsia"/>
        </w:rPr>
        <w:t>典型气象日气象参数</w:t>
      </w:r>
      <w:bookmarkEnd w:id="2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20.7</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20.6</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20.6</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20.8</w:t>
            </w:r>
          </w:p>
        </w:tc>
        <w:tc>
          <w:tcPr>
            <w:tcW w:w="1341" w:type="dxa"/>
            <w:vAlign w:val="center"/>
          </w:tcPr>
          <w:p>
            <w:pPr>
              <w:jc w:val="center"/>
            </w:pPr>
            <w:r>
              <w:t>91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21.0</w:t>
            </w:r>
          </w:p>
        </w:tc>
        <w:tc>
          <w:tcPr>
            <w:tcW w:w="1341" w:type="dxa"/>
            <w:vAlign w:val="center"/>
          </w:tcPr>
          <w:p>
            <w:pPr>
              <w:jc w:val="center"/>
            </w:pPr>
            <w:r>
              <w:t>89</w:t>
            </w:r>
          </w:p>
        </w:tc>
        <w:tc>
          <w:tcPr>
            <w:tcW w:w="1341" w:type="dxa"/>
            <w:vAlign w:val="center"/>
          </w:tcPr>
          <w:p>
            <w:pPr>
              <w:jc w:val="center"/>
            </w:pPr>
            <w:r>
              <w:t>11.11</w:t>
            </w:r>
          </w:p>
        </w:tc>
        <w:tc>
          <w:tcPr>
            <w:tcW w:w="1341" w:type="dxa"/>
            <w:vAlign w:val="center"/>
          </w:tcPr>
          <w:p>
            <w:pPr>
              <w:jc w:val="center"/>
            </w:pPr>
            <w:r>
              <w:t>11.11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21.4</w:t>
            </w:r>
          </w:p>
        </w:tc>
        <w:tc>
          <w:tcPr>
            <w:tcW w:w="1341" w:type="dxa"/>
            <w:vAlign w:val="center"/>
          </w:tcPr>
          <w:p>
            <w:pPr>
              <w:jc w:val="center"/>
            </w:pPr>
            <w:r>
              <w:t>87</w:t>
            </w:r>
          </w:p>
        </w:tc>
        <w:tc>
          <w:tcPr>
            <w:tcW w:w="1341" w:type="dxa"/>
            <w:vAlign w:val="center"/>
          </w:tcPr>
          <w:p>
            <w:pPr>
              <w:jc w:val="center"/>
            </w:pPr>
            <w:r>
              <w:t>91.67</w:t>
            </w:r>
          </w:p>
        </w:tc>
        <w:tc>
          <w:tcPr>
            <w:tcW w:w="1341" w:type="dxa"/>
            <w:vAlign w:val="center"/>
          </w:tcPr>
          <w:p>
            <w:pPr>
              <w:jc w:val="center"/>
            </w:pPr>
            <w:r>
              <w:t>91.67</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21.8</w:t>
            </w:r>
          </w:p>
        </w:tc>
        <w:tc>
          <w:tcPr>
            <w:tcW w:w="1341" w:type="dxa"/>
            <w:vAlign w:val="center"/>
          </w:tcPr>
          <w:p>
            <w:pPr>
              <w:jc w:val="center"/>
            </w:pPr>
            <w:r>
              <w:t>85</w:t>
            </w:r>
          </w:p>
        </w:tc>
        <w:tc>
          <w:tcPr>
            <w:tcW w:w="1341" w:type="dxa"/>
            <w:vAlign w:val="center"/>
          </w:tcPr>
          <w:p>
            <w:pPr>
              <w:jc w:val="center"/>
            </w:pPr>
            <w:r>
              <w:t>188.89</w:t>
            </w:r>
          </w:p>
        </w:tc>
        <w:tc>
          <w:tcPr>
            <w:tcW w:w="1341" w:type="dxa"/>
            <w:vAlign w:val="center"/>
          </w:tcPr>
          <w:p>
            <w:pPr>
              <w:jc w:val="center"/>
            </w:pPr>
            <w:r>
              <w:t>188.89</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22.4</w:t>
            </w:r>
          </w:p>
        </w:tc>
        <w:tc>
          <w:tcPr>
            <w:tcW w:w="1341" w:type="dxa"/>
            <w:vAlign w:val="center"/>
          </w:tcPr>
          <w:p>
            <w:pPr>
              <w:jc w:val="center"/>
            </w:pPr>
            <w:r>
              <w:t>82</w:t>
            </w:r>
          </w:p>
        </w:tc>
        <w:tc>
          <w:tcPr>
            <w:tcW w:w="1341" w:type="dxa"/>
            <w:vAlign w:val="center"/>
          </w:tcPr>
          <w:p>
            <w:pPr>
              <w:jc w:val="center"/>
            </w:pPr>
            <w:r>
              <w:t>294.44</w:t>
            </w:r>
          </w:p>
        </w:tc>
        <w:tc>
          <w:tcPr>
            <w:tcW w:w="1341" w:type="dxa"/>
            <w:vAlign w:val="center"/>
          </w:tcPr>
          <w:p>
            <w:pPr>
              <w:jc w:val="center"/>
            </w:pPr>
            <w:r>
              <w:t>266.67</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23.1</w:t>
            </w:r>
          </w:p>
        </w:tc>
        <w:tc>
          <w:tcPr>
            <w:tcW w:w="1341" w:type="dxa"/>
            <w:vAlign w:val="center"/>
          </w:tcPr>
          <w:p>
            <w:pPr>
              <w:jc w:val="center"/>
            </w:pPr>
            <w:r>
              <w:t>79</w:t>
            </w:r>
          </w:p>
        </w:tc>
        <w:tc>
          <w:tcPr>
            <w:tcW w:w="1341" w:type="dxa"/>
            <w:vAlign w:val="center"/>
          </w:tcPr>
          <w:p>
            <w:pPr>
              <w:jc w:val="center"/>
            </w:pPr>
            <w:r>
              <w:t>402.78</w:t>
            </w:r>
          </w:p>
        </w:tc>
        <w:tc>
          <w:tcPr>
            <w:tcW w:w="1341" w:type="dxa"/>
            <w:vAlign w:val="center"/>
          </w:tcPr>
          <w:p>
            <w:pPr>
              <w:jc w:val="center"/>
            </w:pPr>
            <w:r>
              <w:t>341.67</w:t>
            </w:r>
          </w:p>
        </w:tc>
        <w:tc>
          <w:tcPr>
            <w:tcW w:w="1341" w:type="dxa"/>
            <w:vAlign w:val="center"/>
          </w:tcPr>
          <w:p>
            <w:pPr>
              <w:jc w:val="center"/>
            </w:pPr>
            <w:r>
              <w:t>2.7</w:t>
            </w:r>
          </w:p>
        </w:tc>
        <w:tc>
          <w:tcPr>
            <w:tcW w:w="1341" w:type="dxa"/>
            <w:vMerge w:val="continue"/>
            <w:vAlign w:val="center"/>
          </w:tcPr>
          <w:p>
            <w:pPr>
              <w:jc w:val="center"/>
            </w:pPr>
          </w:p>
        </w:tc>
      </w:tr>
      <w:tr>
        <w:tblPrEx>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23.8</w:t>
            </w:r>
          </w:p>
        </w:tc>
        <w:tc>
          <w:tcPr>
            <w:tcW w:w="1341" w:type="dxa"/>
            <w:vAlign w:val="center"/>
          </w:tcPr>
          <w:p>
            <w:pPr>
              <w:jc w:val="center"/>
            </w:pPr>
            <w:r>
              <w:t>77</w:t>
            </w:r>
          </w:p>
        </w:tc>
        <w:tc>
          <w:tcPr>
            <w:tcW w:w="1341" w:type="dxa"/>
            <w:vAlign w:val="center"/>
          </w:tcPr>
          <w:p>
            <w:pPr>
              <w:jc w:val="center"/>
            </w:pPr>
            <w:r>
              <w:t>494.44</w:t>
            </w:r>
          </w:p>
        </w:tc>
        <w:tc>
          <w:tcPr>
            <w:tcW w:w="1341" w:type="dxa"/>
            <w:vAlign w:val="center"/>
          </w:tcPr>
          <w:p>
            <w:pPr>
              <w:jc w:val="center"/>
            </w:pPr>
            <w:r>
              <w:t>394.44</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24.5</w:t>
            </w:r>
          </w:p>
        </w:tc>
        <w:tc>
          <w:tcPr>
            <w:tcW w:w="1341" w:type="dxa"/>
            <w:vAlign w:val="center"/>
          </w:tcPr>
          <w:p>
            <w:pPr>
              <w:jc w:val="center"/>
            </w:pPr>
            <w:r>
              <w:t>74</w:t>
            </w:r>
          </w:p>
        </w:tc>
        <w:tc>
          <w:tcPr>
            <w:tcW w:w="1341" w:type="dxa"/>
            <w:vAlign w:val="center"/>
          </w:tcPr>
          <w:p>
            <w:pPr>
              <w:jc w:val="center"/>
            </w:pPr>
            <w:r>
              <w:t>563.89</w:t>
            </w:r>
          </w:p>
        </w:tc>
        <w:tc>
          <w:tcPr>
            <w:tcW w:w="1341" w:type="dxa"/>
            <w:vAlign w:val="center"/>
          </w:tcPr>
          <w:p>
            <w:pPr>
              <w:jc w:val="center"/>
            </w:pPr>
            <w:r>
              <w:t>436.11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25.2</w:t>
            </w:r>
          </w:p>
        </w:tc>
        <w:tc>
          <w:tcPr>
            <w:tcW w:w="1341" w:type="dxa"/>
            <w:vAlign w:val="center"/>
          </w:tcPr>
          <w:p>
            <w:pPr>
              <w:jc w:val="center"/>
            </w:pPr>
            <w:r>
              <w:t>72</w:t>
            </w:r>
          </w:p>
        </w:tc>
        <w:tc>
          <w:tcPr>
            <w:tcW w:w="1341" w:type="dxa"/>
            <w:vAlign w:val="center"/>
          </w:tcPr>
          <w:p>
            <w:pPr>
              <w:jc w:val="center"/>
            </w:pPr>
            <w:r>
              <w:t>597.22</w:t>
            </w:r>
          </w:p>
        </w:tc>
        <w:tc>
          <w:tcPr>
            <w:tcW w:w="1341" w:type="dxa"/>
            <w:vAlign w:val="center"/>
          </w:tcPr>
          <w:p>
            <w:pPr>
              <w:jc w:val="center"/>
            </w:pPr>
            <w:r>
              <w:t>455.56</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25.8</w:t>
            </w:r>
          </w:p>
        </w:tc>
        <w:tc>
          <w:tcPr>
            <w:tcW w:w="1341" w:type="dxa"/>
            <w:vAlign w:val="center"/>
          </w:tcPr>
          <w:p>
            <w:pPr>
              <w:jc w:val="center"/>
            </w:pPr>
            <w:r>
              <w:t>71</w:t>
            </w:r>
          </w:p>
        </w:tc>
        <w:tc>
          <w:tcPr>
            <w:tcW w:w="1341" w:type="dxa"/>
            <w:vAlign w:val="center"/>
          </w:tcPr>
          <w:p>
            <w:pPr>
              <w:jc w:val="center"/>
            </w:pPr>
            <w:r>
              <w:t>588.89</w:t>
            </w:r>
          </w:p>
        </w:tc>
        <w:tc>
          <w:tcPr>
            <w:tcW w:w="1341" w:type="dxa"/>
            <w:vAlign w:val="center"/>
          </w:tcPr>
          <w:p>
            <w:pPr>
              <w:jc w:val="center"/>
            </w:pPr>
            <w:r>
              <w:t>450.00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26.2</w:t>
            </w:r>
          </w:p>
        </w:tc>
        <w:tc>
          <w:tcPr>
            <w:tcW w:w="1341" w:type="dxa"/>
            <w:vAlign w:val="center"/>
          </w:tcPr>
          <w:p>
            <w:pPr>
              <w:jc w:val="center"/>
            </w:pPr>
            <w:r>
              <w:t>70</w:t>
            </w:r>
          </w:p>
        </w:tc>
        <w:tc>
          <w:tcPr>
            <w:tcW w:w="1341" w:type="dxa"/>
            <w:vAlign w:val="center"/>
          </w:tcPr>
          <w:p>
            <w:pPr>
              <w:jc w:val="center"/>
            </w:pPr>
            <w:r>
              <w:t>544.44</w:t>
            </w:r>
          </w:p>
        </w:tc>
        <w:tc>
          <w:tcPr>
            <w:tcW w:w="1341" w:type="dxa"/>
            <w:vAlign w:val="center"/>
          </w:tcPr>
          <w:p>
            <w:pPr>
              <w:jc w:val="center"/>
            </w:pPr>
            <w:r>
              <w:t>422.22</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26.4</w:t>
            </w:r>
          </w:p>
        </w:tc>
        <w:tc>
          <w:tcPr>
            <w:tcW w:w="1341" w:type="dxa"/>
            <w:vAlign w:val="center"/>
          </w:tcPr>
          <w:p>
            <w:pPr>
              <w:jc w:val="center"/>
            </w:pPr>
            <w:r>
              <w:t>70</w:t>
            </w:r>
          </w:p>
        </w:tc>
        <w:tc>
          <w:tcPr>
            <w:tcW w:w="1341" w:type="dxa"/>
            <w:vAlign w:val="center"/>
          </w:tcPr>
          <w:p>
            <w:pPr>
              <w:jc w:val="center"/>
            </w:pPr>
            <w:r>
              <w:t>466.67</w:t>
            </w:r>
          </w:p>
        </w:tc>
        <w:tc>
          <w:tcPr>
            <w:tcW w:w="1341" w:type="dxa"/>
            <w:vAlign w:val="center"/>
          </w:tcPr>
          <w:p>
            <w:pPr>
              <w:jc w:val="center"/>
            </w:pPr>
            <w:r>
              <w:t>375.00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26.4</w:t>
            </w:r>
          </w:p>
        </w:tc>
        <w:tc>
          <w:tcPr>
            <w:tcW w:w="1341" w:type="dxa"/>
            <w:vAlign w:val="center"/>
          </w:tcPr>
          <w:p>
            <w:pPr>
              <w:jc w:val="center"/>
            </w:pPr>
            <w:r>
              <w:t>71</w:t>
            </w:r>
          </w:p>
        </w:tc>
        <w:tc>
          <w:tcPr>
            <w:tcW w:w="1341" w:type="dxa"/>
            <w:vAlign w:val="center"/>
          </w:tcPr>
          <w:p>
            <w:pPr>
              <w:jc w:val="center"/>
            </w:pPr>
            <w:r>
              <w:t>366.67</w:t>
            </w:r>
          </w:p>
        </w:tc>
        <w:tc>
          <w:tcPr>
            <w:tcW w:w="1341" w:type="dxa"/>
            <w:vAlign w:val="center"/>
          </w:tcPr>
          <w:p>
            <w:pPr>
              <w:jc w:val="center"/>
            </w:pPr>
            <w:r>
              <w:t>308.33</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26.3</w:t>
            </w:r>
          </w:p>
        </w:tc>
        <w:tc>
          <w:tcPr>
            <w:tcW w:w="1341" w:type="dxa"/>
            <w:vAlign w:val="center"/>
          </w:tcPr>
          <w:p>
            <w:pPr>
              <w:jc w:val="center"/>
            </w:pPr>
            <w:r>
              <w:t>72</w:t>
            </w:r>
          </w:p>
        </w:tc>
        <w:tc>
          <w:tcPr>
            <w:tcW w:w="1341" w:type="dxa"/>
            <w:vAlign w:val="center"/>
          </w:tcPr>
          <w:p>
            <w:pPr>
              <w:jc w:val="center"/>
            </w:pPr>
            <w:r>
              <w:t>258.33</w:t>
            </w:r>
          </w:p>
        </w:tc>
        <w:tc>
          <w:tcPr>
            <w:tcW w:w="1341" w:type="dxa"/>
            <w:vAlign w:val="center"/>
          </w:tcPr>
          <w:p>
            <w:pPr>
              <w:jc w:val="center"/>
            </w:pPr>
            <w:r>
              <w:t>230.56</w:t>
            </w:r>
          </w:p>
        </w:tc>
        <w:tc>
          <w:tcPr>
            <w:tcW w:w="1341" w:type="dxa"/>
            <w:vAlign w:val="center"/>
          </w:tcPr>
          <w:p>
            <w:pPr>
              <w:jc w:val="center"/>
            </w:pPr>
            <w:r>
              <w:t>1.0</w:t>
            </w:r>
          </w:p>
        </w:tc>
        <w:tc>
          <w:tcPr>
            <w:tcW w:w="1341" w:type="dxa"/>
            <w:vMerge w:val="continue"/>
            <w:vAlign w:val="center"/>
          </w:tcPr>
          <w:p>
            <w:pPr>
              <w:jc w:val="center"/>
            </w:pPr>
          </w:p>
        </w:tc>
      </w:tr>
      <w:tr>
        <w:tblPrEx>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25.9</w:t>
            </w:r>
          </w:p>
        </w:tc>
        <w:tc>
          <w:tcPr>
            <w:tcW w:w="1341" w:type="dxa"/>
            <w:vAlign w:val="center"/>
          </w:tcPr>
          <w:p>
            <w:pPr>
              <w:jc w:val="center"/>
            </w:pPr>
            <w:r>
              <w:t>74</w:t>
            </w:r>
          </w:p>
        </w:tc>
        <w:tc>
          <w:tcPr>
            <w:tcW w:w="1341" w:type="dxa"/>
            <w:vAlign w:val="center"/>
          </w:tcPr>
          <w:p>
            <w:pPr>
              <w:jc w:val="center"/>
            </w:pPr>
            <w:r>
              <w:t>255.56</w:t>
            </w:r>
          </w:p>
        </w:tc>
        <w:tc>
          <w:tcPr>
            <w:tcW w:w="1341" w:type="dxa"/>
            <w:vAlign w:val="center"/>
          </w:tcPr>
          <w:p>
            <w:pPr>
              <w:jc w:val="center"/>
            </w:pPr>
            <w:r>
              <w:t>150.00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25.3</w:t>
            </w:r>
          </w:p>
        </w:tc>
        <w:tc>
          <w:tcPr>
            <w:tcW w:w="1341" w:type="dxa"/>
            <w:vAlign w:val="center"/>
          </w:tcPr>
          <w:p>
            <w:pPr>
              <w:jc w:val="center"/>
            </w:pPr>
            <w:r>
              <w:t>76</w:t>
            </w:r>
          </w:p>
        </w:tc>
        <w:tc>
          <w:tcPr>
            <w:tcW w:w="1341" w:type="dxa"/>
            <w:vAlign w:val="center"/>
          </w:tcPr>
          <w:p>
            <w:pPr>
              <w:jc w:val="center"/>
            </w:pPr>
            <w:r>
              <w:t>61.11</w:t>
            </w:r>
          </w:p>
        </w:tc>
        <w:tc>
          <w:tcPr>
            <w:tcW w:w="1341" w:type="dxa"/>
            <w:vAlign w:val="center"/>
          </w:tcPr>
          <w:p>
            <w:pPr>
              <w:jc w:val="center"/>
            </w:pPr>
            <w:r>
              <w:t>61.11</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24.6</w:t>
            </w:r>
          </w:p>
        </w:tc>
        <w:tc>
          <w:tcPr>
            <w:tcW w:w="1341" w:type="dxa"/>
            <w:vAlign w:val="center"/>
          </w:tcPr>
          <w:p>
            <w:pPr>
              <w:jc w:val="center"/>
            </w:pPr>
            <w:r>
              <w:t>79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23.7</w:t>
            </w:r>
          </w:p>
        </w:tc>
        <w:tc>
          <w:tcPr>
            <w:tcW w:w="1341" w:type="dxa"/>
            <w:vAlign w:val="center"/>
          </w:tcPr>
          <w:p>
            <w:pPr>
              <w:jc w:val="center"/>
            </w:pPr>
            <w:r>
              <w:t>82</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1.2</w:t>
            </w:r>
          </w:p>
        </w:tc>
        <w:tc>
          <w:tcPr>
            <w:tcW w:w="1341" w:type="dxa"/>
            <w:vMerge w:val="continue"/>
            <w:vAlign w:val="center"/>
          </w:tcPr>
          <w:p>
            <w:pPr>
              <w:jc w:val="center"/>
            </w:pPr>
          </w:p>
        </w:tc>
      </w:tr>
      <w:tr>
        <w:tblPrEx>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22.7</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21.8</w:t>
            </w:r>
          </w:p>
        </w:tc>
        <w:tc>
          <w:tcPr>
            <w:tcW w:w="1341" w:type="dxa"/>
            <w:vAlign w:val="center"/>
          </w:tcPr>
          <w:p>
            <w:pPr>
              <w:jc w:val="center"/>
            </w:pPr>
            <w:r>
              <w:t>88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20.9</w:t>
            </w:r>
          </w:p>
        </w:tc>
        <w:tc>
          <w:tcPr>
            <w:tcW w:w="1341" w:type="dxa"/>
            <w:vAlign w:val="center"/>
          </w:tcPr>
          <w:p>
            <w:pPr>
              <w:jc w:val="center"/>
            </w:pPr>
            <w:r>
              <w:t>90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23.4</w:t>
            </w:r>
          </w:p>
        </w:tc>
        <w:tc>
          <w:tcPr>
            <w:tcW w:w="1341" w:type="dxa"/>
            <w:vAlign w:val="center"/>
          </w:tcPr>
          <w:p>
            <w:pPr>
              <w:jc w:val="center"/>
            </w:pPr>
            <w:r>
              <w:t>81</w:t>
            </w:r>
          </w:p>
        </w:tc>
        <w:tc>
          <w:tcPr>
            <w:tcW w:w="1341" w:type="dxa"/>
            <w:vAlign w:val="center"/>
          </w:tcPr>
          <w:p>
            <w:pPr>
              <w:jc w:val="center"/>
            </w:pPr>
            <w:r>
              <w:t>216.09</w:t>
            </w:r>
          </w:p>
        </w:tc>
        <w:tc>
          <w:tcPr>
            <w:tcW w:w="1341" w:type="dxa"/>
            <w:vAlign w:val="center"/>
          </w:tcPr>
          <w:p>
            <w:pPr>
              <w:jc w:val="center"/>
            </w:pPr>
            <w:r>
              <w:t>174.31</w:t>
            </w:r>
          </w:p>
        </w:tc>
        <w:tc>
          <w:tcPr>
            <w:tcW w:w="1341" w:type="dxa"/>
            <w:vAlign w:val="center"/>
          </w:tcPr>
          <w:p>
            <w:pPr>
              <w:jc w:val="center"/>
            </w:pPr>
            <w:r>
              <w:t>1.6</w:t>
            </w:r>
          </w:p>
        </w:tc>
        <w:tc>
          <w:tcPr>
            <w:tcW w:w="1341" w:type="dxa"/>
            <w:vMerge w:val="continue"/>
            <w:vAlign w:val="center"/>
          </w:tcPr>
          <w:p>
            <w:pPr>
              <w:jc w:val="center"/>
            </w:pPr>
          </w:p>
        </w:tc>
      </w:tr>
    </w:tbl>
    <w:p>
      <w:pPr>
        <w:pStyle w:val="3"/>
        <w:ind w:firstLine="0" w:firstLineChars="0"/>
        <w:rPr>
          <w:lang w:val="en-US"/>
        </w:rPr>
      </w:pPr>
      <w:bookmarkStart w:id="28" w:name="气象参数"/>
      <w:bookmarkEnd w:id="28"/>
    </w:p>
    <w:p>
      <w:pPr>
        <w:pStyle w:val="4"/>
      </w:pPr>
      <w:bookmarkStart w:id="29" w:name="_Toc16494751"/>
      <w:r>
        <w:rPr>
          <w:rFonts w:hint="eastAsia"/>
        </w:rPr>
        <w:t>渗透面夏季逐时蒸发量</w:t>
      </w:r>
      <w:bookmarkEnd w:id="2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0" w:name="蒸发量参数"/>
      <w:bookmarkEnd w:id="30"/>
    </w:p>
    <w:p>
      <w:pPr>
        <w:pStyle w:val="2"/>
      </w:pPr>
      <w:bookmarkStart w:id="31" w:name="_Toc16494752"/>
      <w:r>
        <w:rPr>
          <w:rFonts w:hint="eastAsia"/>
        </w:rPr>
        <w:t>指标概览</w:t>
      </w:r>
      <w:bookmarkEnd w:id="31"/>
    </w:p>
    <w:p>
      <w:pPr>
        <w:pStyle w:val="4"/>
      </w:pPr>
      <w:bookmarkStart w:id="32" w:name="_Toc16494753"/>
      <w:r>
        <w:rPr>
          <w:rFonts w:hint="eastAsia"/>
        </w:rPr>
        <w:t>建筑列表</w:t>
      </w:r>
      <w:bookmarkEnd w:id="3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新建建筑</w:t>
            </w:r>
          </w:p>
        </w:tc>
        <w:tc>
          <w:tcPr>
            <w:tcW w:w="1556" w:type="dxa"/>
            <w:vAlign w:val="center"/>
          </w:tcPr>
          <w:p>
            <w:r>
              <w:t>8278.8</w:t>
            </w:r>
          </w:p>
        </w:tc>
        <w:tc>
          <w:tcPr>
            <w:tcW w:w="1556" w:type="dxa"/>
            <w:vAlign w:val="center"/>
          </w:tcPr>
          <w:p>
            <w:r>
              <w:t>30.3</w:t>
            </w:r>
          </w:p>
        </w:tc>
        <w:tc>
          <w:tcPr>
            <w:tcW w:w="1556" w:type="dxa"/>
            <w:vAlign w:val="center"/>
          </w:tcPr>
          <w:p>
            <w:r>
              <w:t>0.0</w:t>
            </w:r>
          </w:p>
        </w:tc>
        <w:tc>
          <w:tcPr>
            <w:tcW w:w="1556" w:type="dxa"/>
            <w:vAlign w:val="center"/>
          </w:tcPr>
          <w:p>
            <w:r>
              <w:t>0.84</w:t>
            </w:r>
          </w:p>
        </w:tc>
        <w:tc>
          <w:tcPr>
            <w:tcW w:w="1556" w:type="dxa"/>
            <w:vAlign w:val="center"/>
          </w:tcPr>
          <w:p>
            <w:r>
              <w:t>0.0</w:t>
            </w:r>
          </w:p>
        </w:tc>
      </w:tr>
    </w:tbl>
    <w:p>
      <w:pPr>
        <w:pStyle w:val="3"/>
        <w:ind w:firstLine="420"/>
        <w:rPr>
          <w:lang w:val="en-US"/>
        </w:rPr>
      </w:pPr>
      <w:bookmarkStart w:id="33" w:name="建筑列表"/>
      <w:bookmarkEnd w:id="33"/>
    </w:p>
    <w:p>
      <w:pPr>
        <w:pStyle w:val="4"/>
      </w:pPr>
      <w:bookmarkStart w:id="34" w:name="_Toc16494754"/>
      <w:r>
        <w:rPr>
          <w:rFonts w:hint="eastAsia"/>
        </w:rPr>
        <w:t>住区指标</w:t>
      </w:r>
      <w:bookmarkEnd w:id="3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24671.29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16392.49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2507.50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734.97</w:t>
            </w:r>
          </w:p>
        </w:tc>
      </w:tr>
      <w:tr>
        <w:tblPrEx>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12359.67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0.00</w:t>
            </w:r>
          </w:p>
        </w:tc>
      </w:tr>
      <w:tr>
        <w:tblPrEx>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9.95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75</w:t>
            </w:r>
          </w:p>
        </w:tc>
      </w:tr>
      <w:tr>
        <w:tblPrEx>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5" w:name="住区指标概览"/>
      <w:bookmarkEnd w:id="35"/>
    </w:p>
    <w:p>
      <w:pPr>
        <w:pStyle w:val="2"/>
      </w:pPr>
      <w:bookmarkStart w:id="36" w:name="_Toc16494755"/>
      <w:r>
        <w:rPr>
          <w:rFonts w:hint="eastAsia"/>
        </w:rPr>
        <w:t>计算结果</w:t>
      </w:r>
      <w:bookmarkEnd w:id="3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23.4</w:t>
            </w:r>
          </w:p>
        </w:tc>
        <w:tc>
          <w:tcPr>
            <w:tcW w:w="1166" w:type="dxa"/>
            <w:vAlign w:val="center"/>
          </w:tcPr>
          <w:p>
            <w:r>
              <w:t>3.3</w:t>
            </w:r>
          </w:p>
        </w:tc>
        <w:tc>
          <w:tcPr>
            <w:tcW w:w="1166" w:type="dxa"/>
            <w:vAlign w:val="center"/>
          </w:tcPr>
          <w:p>
            <w:r>
              <w:t>4.5</w:t>
            </w:r>
          </w:p>
        </w:tc>
        <w:tc>
          <w:tcPr>
            <w:tcW w:w="1166" w:type="dxa"/>
            <w:vAlign w:val="center"/>
          </w:tcPr>
          <w:p>
            <w:r>
              <w:t>0.1</w:t>
            </w:r>
          </w:p>
        </w:tc>
        <w:tc>
          <w:tcPr>
            <w:tcW w:w="1166" w:type="dxa"/>
            <w:vAlign w:val="center"/>
          </w:tcPr>
          <w:p>
            <w:r>
              <w:t>22.1</w:t>
            </w:r>
          </w:p>
        </w:tc>
        <w:tc>
          <w:tcPr>
            <w:tcW w:w="1166" w:type="dxa"/>
            <w:vAlign w:val="center"/>
          </w:tcPr>
          <w:p>
            <w:r>
              <w:t>23.1</w:t>
            </w:r>
          </w:p>
        </w:tc>
        <w:tc>
          <w:tcPr>
            <w:tcW w:w="1166" w:type="dxa"/>
            <w:vAlign w:val="center"/>
          </w:tcPr>
          <w:p>
            <w:r>
              <w:t>-0.965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23.4</w:t>
            </w:r>
          </w:p>
        </w:tc>
        <w:tc>
          <w:tcPr>
            <w:tcW w:w="1166" w:type="dxa"/>
            <w:vAlign w:val="center"/>
          </w:tcPr>
          <w:p>
            <w:r>
              <w:t>4.7</w:t>
            </w:r>
          </w:p>
        </w:tc>
        <w:tc>
          <w:tcPr>
            <w:tcW w:w="1166" w:type="dxa"/>
            <w:vAlign w:val="center"/>
          </w:tcPr>
          <w:p>
            <w:r>
              <w:t>4.7</w:t>
            </w:r>
          </w:p>
        </w:tc>
        <w:tc>
          <w:tcPr>
            <w:tcW w:w="1166" w:type="dxa"/>
            <w:vAlign w:val="center"/>
          </w:tcPr>
          <w:p>
            <w:r>
              <w:t>0.1</w:t>
            </w:r>
          </w:p>
        </w:tc>
        <w:tc>
          <w:tcPr>
            <w:tcW w:w="1166" w:type="dxa"/>
            <w:vAlign w:val="center"/>
          </w:tcPr>
          <w:p>
            <w:r>
              <w:t>23.4</w:t>
            </w:r>
          </w:p>
        </w:tc>
        <w:tc>
          <w:tcPr>
            <w:tcW w:w="1166" w:type="dxa"/>
            <w:vAlign w:val="center"/>
          </w:tcPr>
          <w:p>
            <w:r>
              <w:t>23.8</w:t>
            </w:r>
          </w:p>
        </w:tc>
        <w:tc>
          <w:tcPr>
            <w:tcW w:w="1166" w:type="dxa"/>
            <w:vAlign w:val="center"/>
          </w:tcPr>
          <w:p>
            <w:r>
              <w:t>-0.401</w:t>
            </w:r>
          </w:p>
        </w:tc>
      </w:tr>
      <w:tr>
        <w:tblPrEx>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23.4</w:t>
            </w:r>
          </w:p>
        </w:tc>
        <w:tc>
          <w:tcPr>
            <w:tcW w:w="1166" w:type="dxa"/>
            <w:vAlign w:val="center"/>
          </w:tcPr>
          <w:p>
            <w:r>
              <w:t>6.3</w:t>
            </w:r>
          </w:p>
        </w:tc>
        <w:tc>
          <w:tcPr>
            <w:tcW w:w="1166" w:type="dxa"/>
            <w:vAlign w:val="center"/>
          </w:tcPr>
          <w:p>
            <w:r>
              <w:t>4.9</w:t>
            </w:r>
          </w:p>
        </w:tc>
        <w:tc>
          <w:tcPr>
            <w:tcW w:w="1166" w:type="dxa"/>
            <w:vAlign w:val="center"/>
          </w:tcPr>
          <w:p>
            <w:r>
              <w:t>0.1</w:t>
            </w:r>
          </w:p>
        </w:tc>
        <w:tc>
          <w:tcPr>
            <w:tcW w:w="1166" w:type="dxa"/>
            <w:vAlign w:val="center"/>
          </w:tcPr>
          <w:p>
            <w:r>
              <w:t>24.8</w:t>
            </w:r>
          </w:p>
        </w:tc>
        <w:tc>
          <w:tcPr>
            <w:tcW w:w="1166" w:type="dxa"/>
            <w:vAlign w:val="center"/>
          </w:tcPr>
          <w:p>
            <w:r>
              <w:t>24.5</w:t>
            </w:r>
          </w:p>
        </w:tc>
        <w:tc>
          <w:tcPr>
            <w:tcW w:w="1166" w:type="dxa"/>
            <w:vAlign w:val="center"/>
          </w:tcPr>
          <w:p>
            <w:r>
              <w:t>0.285</w:t>
            </w:r>
          </w:p>
        </w:tc>
      </w:tr>
      <w:tr>
        <w:tblPrEx>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23.4</w:t>
            </w:r>
          </w:p>
        </w:tc>
        <w:tc>
          <w:tcPr>
            <w:tcW w:w="1166" w:type="dxa"/>
            <w:vAlign w:val="center"/>
          </w:tcPr>
          <w:p>
            <w:r>
              <w:t>7.9</w:t>
            </w:r>
          </w:p>
        </w:tc>
        <w:tc>
          <w:tcPr>
            <w:tcW w:w="1166" w:type="dxa"/>
            <w:vAlign w:val="center"/>
          </w:tcPr>
          <w:p>
            <w:r>
              <w:t>5.0</w:t>
            </w:r>
          </w:p>
        </w:tc>
        <w:tc>
          <w:tcPr>
            <w:tcW w:w="1166" w:type="dxa"/>
            <w:vAlign w:val="center"/>
          </w:tcPr>
          <w:p>
            <w:r>
              <w:t>0.1</w:t>
            </w:r>
          </w:p>
        </w:tc>
        <w:tc>
          <w:tcPr>
            <w:tcW w:w="1166" w:type="dxa"/>
            <w:vAlign w:val="center"/>
          </w:tcPr>
          <w:p>
            <w:r>
              <w:t>26.2</w:t>
            </w:r>
          </w:p>
        </w:tc>
        <w:tc>
          <w:tcPr>
            <w:tcW w:w="1166" w:type="dxa"/>
            <w:vAlign w:val="center"/>
          </w:tcPr>
          <w:p>
            <w:r>
              <w:t>25.2</w:t>
            </w:r>
          </w:p>
        </w:tc>
        <w:tc>
          <w:tcPr>
            <w:tcW w:w="1166" w:type="dxa"/>
            <w:vAlign w:val="center"/>
          </w:tcPr>
          <w:p>
            <w:r>
              <w:t>0.993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23.4</w:t>
            </w:r>
          </w:p>
        </w:tc>
        <w:tc>
          <w:tcPr>
            <w:tcW w:w="1166" w:type="dxa"/>
            <w:vAlign w:val="center"/>
          </w:tcPr>
          <w:p>
            <w:r>
              <w:t>9.3</w:t>
            </w:r>
          </w:p>
        </w:tc>
        <w:tc>
          <w:tcPr>
            <w:tcW w:w="1166" w:type="dxa"/>
            <w:vAlign w:val="center"/>
          </w:tcPr>
          <w:p>
            <w:r>
              <w:t>5.2</w:t>
            </w:r>
          </w:p>
        </w:tc>
        <w:tc>
          <w:tcPr>
            <w:tcW w:w="1166" w:type="dxa"/>
            <w:vAlign w:val="center"/>
          </w:tcPr>
          <w:p>
            <w:r>
              <w:t>0.1</w:t>
            </w:r>
          </w:p>
        </w:tc>
        <w:tc>
          <w:tcPr>
            <w:tcW w:w="1166" w:type="dxa"/>
            <w:vAlign w:val="center"/>
          </w:tcPr>
          <w:p>
            <w:r>
              <w:t>27.4</w:t>
            </w:r>
          </w:p>
        </w:tc>
        <w:tc>
          <w:tcPr>
            <w:tcW w:w="1166" w:type="dxa"/>
            <w:vAlign w:val="center"/>
          </w:tcPr>
          <w:p>
            <w:r>
              <w:t>25.8</w:t>
            </w:r>
          </w:p>
        </w:tc>
        <w:tc>
          <w:tcPr>
            <w:tcW w:w="1166" w:type="dxa"/>
            <w:vAlign w:val="center"/>
          </w:tcPr>
          <w:p>
            <w:r>
              <w:t>1.579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23.4</w:t>
            </w:r>
          </w:p>
        </w:tc>
        <w:tc>
          <w:tcPr>
            <w:tcW w:w="1166" w:type="dxa"/>
            <w:vAlign w:val="center"/>
          </w:tcPr>
          <w:p>
            <w:r>
              <w:t>10.4</w:t>
            </w:r>
          </w:p>
        </w:tc>
        <w:tc>
          <w:tcPr>
            <w:tcW w:w="1166" w:type="dxa"/>
            <w:vAlign w:val="center"/>
          </w:tcPr>
          <w:p>
            <w:r>
              <w:t>5.4</w:t>
            </w:r>
          </w:p>
        </w:tc>
        <w:tc>
          <w:tcPr>
            <w:tcW w:w="1166" w:type="dxa"/>
            <w:vAlign w:val="center"/>
          </w:tcPr>
          <w:p>
            <w:r>
              <w:t>0.1</w:t>
            </w:r>
          </w:p>
        </w:tc>
        <w:tc>
          <w:tcPr>
            <w:tcW w:w="1166" w:type="dxa"/>
            <w:vAlign w:val="center"/>
          </w:tcPr>
          <w:p>
            <w:r>
              <w:t>28.3</w:t>
            </w:r>
          </w:p>
        </w:tc>
        <w:tc>
          <w:tcPr>
            <w:tcW w:w="1166" w:type="dxa"/>
            <w:vAlign w:val="center"/>
          </w:tcPr>
          <w:p>
            <w:r>
              <w:t>26.2</w:t>
            </w:r>
          </w:p>
        </w:tc>
        <w:tc>
          <w:tcPr>
            <w:tcW w:w="1166" w:type="dxa"/>
            <w:vAlign w:val="center"/>
          </w:tcPr>
          <w:p>
            <w:r>
              <w:t>2.065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23.4</w:t>
            </w:r>
          </w:p>
        </w:tc>
        <w:tc>
          <w:tcPr>
            <w:tcW w:w="1166" w:type="dxa"/>
            <w:vAlign w:val="center"/>
          </w:tcPr>
          <w:p>
            <w:r>
              <w:t>11.0</w:t>
            </w:r>
          </w:p>
        </w:tc>
        <w:tc>
          <w:tcPr>
            <w:tcW w:w="1166" w:type="dxa"/>
            <w:vAlign w:val="center"/>
          </w:tcPr>
          <w:p>
            <w:r>
              <w:t>5.4</w:t>
            </w:r>
          </w:p>
        </w:tc>
        <w:tc>
          <w:tcPr>
            <w:tcW w:w="1166" w:type="dxa"/>
            <w:vAlign w:val="center"/>
          </w:tcPr>
          <w:p>
            <w:r>
              <w:t>0.1</w:t>
            </w:r>
          </w:p>
        </w:tc>
        <w:tc>
          <w:tcPr>
            <w:tcW w:w="1166" w:type="dxa"/>
            <w:vAlign w:val="center"/>
          </w:tcPr>
          <w:p>
            <w:r>
              <w:t>28.9</w:t>
            </w:r>
          </w:p>
        </w:tc>
        <w:tc>
          <w:tcPr>
            <w:tcW w:w="1166" w:type="dxa"/>
            <w:vAlign w:val="center"/>
          </w:tcPr>
          <w:p>
            <w:r>
              <w:t>26.4</w:t>
            </w:r>
          </w:p>
        </w:tc>
        <w:tc>
          <w:tcPr>
            <w:tcW w:w="1166" w:type="dxa"/>
            <w:vAlign w:val="center"/>
          </w:tcPr>
          <w:p>
            <w:r>
              <w:t>2.538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23.4</w:t>
            </w:r>
          </w:p>
        </w:tc>
        <w:tc>
          <w:tcPr>
            <w:tcW w:w="1166" w:type="dxa"/>
            <w:vAlign w:val="center"/>
          </w:tcPr>
          <w:p>
            <w:r>
              <w:t>11.1</w:t>
            </w:r>
          </w:p>
        </w:tc>
        <w:tc>
          <w:tcPr>
            <w:tcW w:w="1166" w:type="dxa"/>
            <w:vAlign w:val="center"/>
          </w:tcPr>
          <w:p>
            <w:r>
              <w:t>5.3</w:t>
            </w:r>
          </w:p>
        </w:tc>
        <w:tc>
          <w:tcPr>
            <w:tcW w:w="1166" w:type="dxa"/>
            <w:vAlign w:val="center"/>
          </w:tcPr>
          <w:p>
            <w:r>
              <w:t>0.1</w:t>
            </w:r>
          </w:p>
        </w:tc>
        <w:tc>
          <w:tcPr>
            <w:tcW w:w="1166" w:type="dxa"/>
            <w:vAlign w:val="center"/>
          </w:tcPr>
          <w:p>
            <w:r>
              <w:t>29.1</w:t>
            </w:r>
          </w:p>
        </w:tc>
        <w:tc>
          <w:tcPr>
            <w:tcW w:w="1166" w:type="dxa"/>
            <w:vAlign w:val="center"/>
          </w:tcPr>
          <w:p>
            <w:r>
              <w:t>26.4</w:t>
            </w:r>
          </w:p>
        </w:tc>
        <w:tc>
          <w:tcPr>
            <w:tcW w:w="1166" w:type="dxa"/>
            <w:vAlign w:val="center"/>
          </w:tcPr>
          <w:p>
            <w:r>
              <w:t>2.728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23.4</w:t>
            </w:r>
          </w:p>
        </w:tc>
        <w:tc>
          <w:tcPr>
            <w:tcW w:w="1166" w:type="dxa"/>
            <w:vAlign w:val="center"/>
          </w:tcPr>
          <w:p>
            <w:r>
              <w:t>10.8</w:t>
            </w:r>
          </w:p>
        </w:tc>
        <w:tc>
          <w:tcPr>
            <w:tcW w:w="1166" w:type="dxa"/>
            <w:vAlign w:val="center"/>
          </w:tcPr>
          <w:p>
            <w:r>
              <w:t>5.3</w:t>
            </w:r>
          </w:p>
        </w:tc>
        <w:tc>
          <w:tcPr>
            <w:tcW w:w="1166" w:type="dxa"/>
            <w:vAlign w:val="center"/>
          </w:tcPr>
          <w:p>
            <w:r>
              <w:t>0.0</w:t>
            </w:r>
          </w:p>
        </w:tc>
        <w:tc>
          <w:tcPr>
            <w:tcW w:w="1166" w:type="dxa"/>
            <w:vAlign w:val="center"/>
          </w:tcPr>
          <w:p>
            <w:r>
              <w:t>28.8</w:t>
            </w:r>
          </w:p>
        </w:tc>
        <w:tc>
          <w:tcPr>
            <w:tcW w:w="1166" w:type="dxa"/>
            <w:vAlign w:val="center"/>
          </w:tcPr>
          <w:p>
            <w:r>
              <w:t>26.3</w:t>
            </w:r>
          </w:p>
        </w:tc>
        <w:tc>
          <w:tcPr>
            <w:tcW w:w="1166" w:type="dxa"/>
            <w:vAlign w:val="center"/>
          </w:tcPr>
          <w:p>
            <w:r>
              <w:t>2.527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23.4</w:t>
            </w:r>
          </w:p>
        </w:tc>
        <w:tc>
          <w:tcPr>
            <w:tcW w:w="1166" w:type="dxa"/>
            <w:vAlign w:val="center"/>
          </w:tcPr>
          <w:p>
            <w:r>
              <w:t>10.4</w:t>
            </w:r>
          </w:p>
        </w:tc>
        <w:tc>
          <w:tcPr>
            <w:tcW w:w="1166" w:type="dxa"/>
            <w:vAlign w:val="center"/>
          </w:tcPr>
          <w:p>
            <w:r>
              <w:t>5.3</w:t>
            </w:r>
          </w:p>
        </w:tc>
        <w:tc>
          <w:tcPr>
            <w:tcW w:w="1166" w:type="dxa"/>
            <w:vAlign w:val="center"/>
          </w:tcPr>
          <w:p>
            <w:r>
              <w:t>0.0</w:t>
            </w:r>
          </w:p>
        </w:tc>
        <w:tc>
          <w:tcPr>
            <w:tcW w:w="1166" w:type="dxa"/>
            <w:vAlign w:val="center"/>
          </w:tcPr>
          <w:p>
            <w:r>
              <w:t>28.5</w:t>
            </w:r>
          </w:p>
        </w:tc>
        <w:tc>
          <w:tcPr>
            <w:tcW w:w="1166" w:type="dxa"/>
            <w:vAlign w:val="center"/>
          </w:tcPr>
          <w:p>
            <w:r>
              <w:t>25.9</w:t>
            </w:r>
          </w:p>
        </w:tc>
        <w:tc>
          <w:tcPr>
            <w:tcW w:w="1166" w:type="dxa"/>
            <w:vAlign w:val="center"/>
          </w:tcPr>
          <w:p>
            <w:r>
              <w:t>2.640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23.4</w:t>
            </w:r>
          </w:p>
        </w:tc>
        <w:tc>
          <w:tcPr>
            <w:tcW w:w="1166" w:type="dxa"/>
            <w:vAlign w:val="center"/>
          </w:tcPr>
          <w:p>
            <w:r>
              <w:t>9.3</w:t>
            </w:r>
          </w:p>
        </w:tc>
        <w:tc>
          <w:tcPr>
            <w:tcW w:w="1166" w:type="dxa"/>
            <w:vAlign w:val="center"/>
          </w:tcPr>
          <w:p>
            <w:r>
              <w:t>5.2</w:t>
            </w:r>
          </w:p>
        </w:tc>
        <w:tc>
          <w:tcPr>
            <w:tcW w:w="1166" w:type="dxa"/>
            <w:vAlign w:val="center"/>
          </w:tcPr>
          <w:p>
            <w:r>
              <w:t>0.0</w:t>
            </w:r>
          </w:p>
        </w:tc>
        <w:tc>
          <w:tcPr>
            <w:tcW w:w="1166" w:type="dxa"/>
            <w:vAlign w:val="center"/>
          </w:tcPr>
          <w:p>
            <w:r>
              <w:t>27.4</w:t>
            </w:r>
          </w:p>
        </w:tc>
        <w:tc>
          <w:tcPr>
            <w:tcW w:w="1166" w:type="dxa"/>
            <w:vAlign w:val="center"/>
          </w:tcPr>
          <w:p>
            <w:r>
              <w:t>25.3</w:t>
            </w:r>
          </w:p>
        </w:tc>
        <w:tc>
          <w:tcPr>
            <w:tcW w:w="1166" w:type="dxa"/>
            <w:vAlign w:val="center"/>
          </w:tcPr>
          <w:p>
            <w:r>
              <w:t>2.118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1.46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37" w:name="平均热岛强度"/>
      <w:bookmarkEnd w:id="37"/>
    </w:p>
    <w:p>
      <w:pPr>
        <w:pStyle w:val="3"/>
        <w:ind w:firstLine="0" w:firstLineChars="0"/>
        <w:rPr>
          <w:lang w:val="en-US"/>
        </w:rPr>
      </w:pPr>
      <w:bookmarkStart w:id="38" w:name="平均热岛强度图片"/>
      <w:bookmarkEnd w:id="38"/>
      <w:r>
        <w:rPr>
          <w:lang w:val="en-US"/>
        </w:rPr>
        <w:drawing>
          <wp:inline distT="0" distB="0" distL="0" distR="0">
            <wp:extent cx="5667375" cy="26289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628900"/>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8</w:t>
    </w:r>
    <w:r>
      <w:rPr>
        <w:rStyle w:val="22"/>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OTNlNzQ3NjI0ZGJjY2Q2NmFlODRhNjEwYTJlODcifQ=="/>
  </w:docVars>
  <w:rsids>
    <w:rsidRoot w:val="00D40DB1"/>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25499"/>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C60C9"/>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0DB1"/>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6886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4"/>
    <w:uiPriority w:val="0"/>
    <w:rPr>
      <w:sz w:val="18"/>
      <w:szCs w:val="18"/>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uiPriority w:val="0"/>
  </w:style>
  <w:style w:type="character" w:styleId="23">
    <w:name w:val="Hyperlink"/>
    <w:autoRedefine/>
    <w:uiPriority w:val="99"/>
    <w:rPr>
      <w:color w:val="0000FF"/>
      <w:u w:val="single"/>
    </w:rPr>
  </w:style>
  <w:style w:type="character" w:customStyle="1" w:styleId="24">
    <w:name w:val="批注框文本 Char"/>
    <w:basedOn w:val="21"/>
    <w:link w:val="14"/>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JIAP~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8</Pages>
  <Words>622</Words>
  <Characters>3546</Characters>
  <Lines>29</Lines>
  <Paragraphs>8</Paragraphs>
  <TotalTime>0</TotalTime>
  <ScaleCrop>false</ScaleCrop>
  <LinksUpToDate>false</LinksUpToDate>
  <CharactersWithSpaces>4160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2024-02-19T17:26:00Z</dcterms:created>
  <dc:creator>keyi8888</dc:creator>
  <cp:lastModifiedBy>文档存本地丢失不负责</cp:lastModifiedBy>
  <cp:lastPrinted>1900-12-31T16:00:00Z</cp:lastPrinted>
  <dcterms:modified xsi:type="dcterms:W3CDTF">2024-02-20T01:31:05Z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E7BA2370EAA8494E99819BC7BF54F988_12</vt:lpwstr>
  </property>
</Properties>
</file>