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  <w:bookmarkEnd w:id="0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河南-郑州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t>时新飞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t>时新飞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t>时新飞</w:t>
            </w:r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2023年12月27日</w:t>
            </w:r>
            <w:bookmarkEnd w:id="6"/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bookmarkEnd w:id="7"/>
      <w:r>
        <w:drawing>
          <wp:inline distT="0" distB="0" distL="0" distR="0">
            <wp:extent cx="1628775" cy="1628775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室内热舒适评价ITES202</w:t>
            </w:r>
            <w:r>
              <w:rPr>
                <w:rFonts w:ascii="宋体" w:hAnsi="宋体"/>
              </w:rPr>
              <w:t>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20220808（SP1）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T16696684960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"_Toc154561680" </w:instrText>
      </w:r>
      <w:r>
        <w:fldChar w:fldCharType="separate"/>
      </w:r>
      <w:r>
        <w:rPr>
          <w:rStyle w:val="26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项目概况</w:t>
      </w:r>
      <w:r>
        <w:tab/>
      </w:r>
      <w:r>
        <w:fldChar w:fldCharType="begin"/>
      </w:r>
      <w:r>
        <w:instrText xml:space="preserve"> PAGEREF _Toc154561680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"_Toc154561681" </w:instrText>
      </w:r>
      <w:r>
        <w:fldChar w:fldCharType="separate"/>
      </w:r>
      <w:r>
        <w:rPr>
          <w:rStyle w:val="26"/>
          <w:lang w:val="en-GB"/>
        </w:rPr>
        <w:t>1.1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平面图</w:t>
      </w:r>
      <w:r>
        <w:tab/>
      </w:r>
      <w:r>
        <w:fldChar w:fldCharType="begin"/>
      </w:r>
      <w:r>
        <w:instrText xml:space="preserve"> PAGEREF _Toc154561681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"_Toc154561682" </w:instrText>
      </w:r>
      <w:r>
        <w:fldChar w:fldCharType="separate"/>
      </w:r>
      <w:r>
        <w:rPr>
          <w:rStyle w:val="26"/>
          <w:lang w:val="en-GB"/>
        </w:rPr>
        <w:t>1.2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三维视图</w:t>
      </w:r>
      <w:r>
        <w:tab/>
      </w:r>
      <w:r>
        <w:fldChar w:fldCharType="begin"/>
      </w:r>
      <w:r>
        <w:instrText xml:space="preserve"> PAGEREF _Toc154561682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"_Toc154561683" </w:instrText>
      </w:r>
      <w:r>
        <w:fldChar w:fldCharType="separate"/>
      </w:r>
      <w:r>
        <w:rPr>
          <w:rStyle w:val="26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计算依据</w:t>
      </w:r>
      <w:r>
        <w:tab/>
      </w:r>
      <w:r>
        <w:fldChar w:fldCharType="begin"/>
      </w:r>
      <w:r>
        <w:instrText xml:space="preserve"> PAGEREF _Toc154561683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"_Toc154561684" </w:instrText>
      </w:r>
      <w:r>
        <w:fldChar w:fldCharType="separate"/>
      </w:r>
      <w:r>
        <w:rPr>
          <w:rStyle w:val="26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参考标准</w:t>
      </w:r>
      <w:r>
        <w:tab/>
      </w:r>
      <w:r>
        <w:fldChar w:fldCharType="begin"/>
      </w:r>
      <w:r>
        <w:instrText xml:space="preserve"> PAGEREF _Toc154561684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"_Toc154561685" </w:instrText>
      </w:r>
      <w:r>
        <w:fldChar w:fldCharType="separate"/>
      </w:r>
      <w:r>
        <w:rPr>
          <w:rStyle w:val="26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计算方法</w:t>
      </w:r>
      <w:r>
        <w:tab/>
      </w:r>
      <w:r>
        <w:fldChar w:fldCharType="begin"/>
      </w:r>
      <w:r>
        <w:instrText xml:space="preserve"> PAGEREF _Toc154561685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"_Toc154561686" </w:instrText>
      </w:r>
      <w:r>
        <w:fldChar w:fldCharType="separate"/>
      </w:r>
      <w:r>
        <w:rPr>
          <w:rStyle w:val="26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参数定义</w:t>
      </w:r>
      <w:r>
        <w:tab/>
      </w:r>
      <w:r>
        <w:fldChar w:fldCharType="begin"/>
      </w:r>
      <w:r>
        <w:instrText xml:space="preserve"> PAGEREF _Toc154561686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"_Toc154561687" </w:instrText>
      </w:r>
      <w:r>
        <w:fldChar w:fldCharType="separate"/>
      </w:r>
      <w:r>
        <w:rPr>
          <w:rStyle w:val="26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计算流程</w:t>
      </w:r>
      <w:r>
        <w:tab/>
      </w:r>
      <w:r>
        <w:fldChar w:fldCharType="begin"/>
      </w:r>
      <w:r>
        <w:instrText xml:space="preserve"> PAGEREF _Toc154561687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"_Toc154561688" </w:instrText>
      </w:r>
      <w:r>
        <w:fldChar w:fldCharType="separate"/>
      </w:r>
      <w:r>
        <w:rPr>
          <w:rStyle w:val="26"/>
          <w:lang w:val="en-GB"/>
        </w:rPr>
        <w:t>4.3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计算参数</w:t>
      </w:r>
      <w:r>
        <w:tab/>
      </w:r>
      <w:r>
        <w:fldChar w:fldCharType="begin"/>
      </w:r>
      <w:r>
        <w:instrText xml:space="preserve"> PAGEREF _Toc154561688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"_Toc154561689" </w:instrText>
      </w:r>
      <w:r>
        <w:fldChar w:fldCharType="separate"/>
      </w:r>
      <w:r>
        <w:rPr>
          <w:rStyle w:val="26"/>
          <w:lang w:val="en-GB"/>
        </w:rPr>
        <w:t>4.3.1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室外月平均温度</w:t>
      </w:r>
      <w:r>
        <w:tab/>
      </w:r>
      <w:r>
        <w:fldChar w:fldCharType="begin"/>
      </w:r>
      <w:r>
        <w:instrText xml:space="preserve"> PAGEREF _Toc154561689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"_Toc154561690" </w:instrText>
      </w:r>
      <w:r>
        <w:fldChar w:fldCharType="separate"/>
      </w:r>
      <w:r>
        <w:rPr>
          <w:rStyle w:val="26"/>
          <w:lang w:val="en-GB"/>
        </w:rPr>
        <w:t>4.3.2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室内热舒适温度</w:t>
      </w:r>
      <w:r>
        <w:tab/>
      </w:r>
      <w:r>
        <w:fldChar w:fldCharType="begin"/>
      </w:r>
      <w:r>
        <w:instrText xml:space="preserve"> PAGEREF _Toc154561690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"_Toc154561691" </w:instrText>
      </w:r>
      <w:r>
        <w:fldChar w:fldCharType="separate"/>
      </w:r>
      <w:r>
        <w:rPr>
          <w:rStyle w:val="26"/>
          <w:lang w:val="en-GB"/>
        </w:rPr>
        <w:t>4.3.3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参评时间段</w:t>
      </w:r>
      <w:r>
        <w:tab/>
      </w:r>
      <w:r>
        <w:fldChar w:fldCharType="begin"/>
      </w:r>
      <w:r>
        <w:instrText xml:space="preserve"> PAGEREF _Toc154561691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"_Toc154561692" </w:instrText>
      </w:r>
      <w:r>
        <w:fldChar w:fldCharType="separate"/>
      </w:r>
      <w:r>
        <w:rPr>
          <w:rStyle w:val="26"/>
          <w:lang w:val="en-GB"/>
        </w:rPr>
        <w:t>4.3.4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围护结构热工性能参数</w:t>
      </w:r>
      <w:r>
        <w:tab/>
      </w:r>
      <w:r>
        <w:fldChar w:fldCharType="begin"/>
      </w:r>
      <w:r>
        <w:instrText xml:space="preserve"> PAGEREF _Toc154561692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5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"_Toc154561693" </w:instrText>
      </w:r>
      <w:r>
        <w:fldChar w:fldCharType="separate"/>
      </w:r>
      <w:r>
        <w:rPr>
          <w:rStyle w:val="26"/>
          <w:lang w:val="en-GB"/>
        </w:rPr>
        <w:t>4.3.5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房间类型参数</w:t>
      </w:r>
      <w:r>
        <w:tab/>
      </w:r>
      <w:r>
        <w:fldChar w:fldCharType="begin"/>
      </w:r>
      <w:r>
        <w:instrText xml:space="preserve"> PAGEREF _Toc154561693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"_Toc154561694" </w:instrText>
      </w:r>
      <w:r>
        <w:fldChar w:fldCharType="separate"/>
      </w:r>
      <w:r>
        <w:rPr>
          <w:rStyle w:val="26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结果分析</w:t>
      </w:r>
      <w:r>
        <w:tab/>
      </w:r>
      <w:r>
        <w:fldChar w:fldCharType="begin"/>
      </w:r>
      <w:r>
        <w:instrText xml:space="preserve"> PAGEREF _Toc154561694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20"/>
        <w:rPr>
          <w:rFonts w:asciiTheme="minorHAnsi" w:hAnsiTheme="minorHAnsi" w:eastAsiaTheme="minorEastAsia" w:cstheme="minorBidi"/>
          <w:szCs w:val="22"/>
          <w14:ligatures w14:val="standardContextual"/>
        </w:rPr>
      </w:pPr>
      <w:r>
        <w:fldChar w:fldCharType="begin"/>
      </w:r>
      <w:r>
        <w:instrText xml:space="preserve"> HYPERLINK \l "_Toc154561695" </w:instrText>
      </w:r>
      <w:r>
        <w:fldChar w:fldCharType="separate"/>
      </w:r>
      <w:r>
        <w:rPr>
          <w:rStyle w:val="26"/>
          <w:lang w:val="en-GB"/>
        </w:rPr>
        <w:t>5.1</w:t>
      </w:r>
      <w:r>
        <w:rPr>
          <w:rFonts w:asciiTheme="minorHAnsi" w:hAnsiTheme="minorHAnsi" w:eastAsiaTheme="minorEastAsia" w:cstheme="minorBidi"/>
          <w:szCs w:val="22"/>
          <w14:ligatures w14:val="standardContextual"/>
        </w:rPr>
        <w:tab/>
      </w:r>
      <w:r>
        <w:rPr>
          <w:rStyle w:val="26"/>
        </w:rPr>
        <w:t>室内适应性热舒适温度达标比例统计</w:t>
      </w:r>
      <w:r>
        <w:tab/>
      </w:r>
      <w:r>
        <w:fldChar w:fldCharType="begin"/>
      </w:r>
      <w:r>
        <w:instrText xml:space="preserve"> PAGEREF _Toc154561695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9"/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</w:pPr>
      <w:r>
        <w:fldChar w:fldCharType="begin"/>
      </w:r>
      <w:r>
        <w:instrText xml:space="preserve"> HYPERLINK \l "_Toc154561696" </w:instrText>
      </w:r>
      <w:r>
        <w:fldChar w:fldCharType="separate"/>
      </w:r>
      <w:r>
        <w:rPr>
          <w:rStyle w:val="26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  <w14:ligatures w14:val="standardContextual"/>
        </w:rPr>
        <w:tab/>
      </w:r>
      <w:r>
        <w:rPr>
          <w:rStyle w:val="26"/>
        </w:rPr>
        <w:t>结论</w:t>
      </w:r>
      <w:r>
        <w:tab/>
      </w:r>
      <w:r>
        <w:fldChar w:fldCharType="begin"/>
      </w:r>
      <w:r>
        <w:instrText xml:space="preserve"> PAGEREF _Toc154561696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9"/>
        <w:spacing w:line="240" w:lineRule="auto"/>
      </w:pPr>
      <w:r>
        <w:fldChar w:fldCharType="end"/>
      </w:r>
      <w:bookmarkEnd w:id="10"/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rPr>
          <w:lang w:val="en-US"/>
        </w:rPr>
      </w:pPr>
    </w:p>
    <w:p>
      <w:pPr>
        <w:tabs>
          <w:tab w:val="left" w:pos="8137"/>
        </w:tabs>
        <w:rPr>
          <w:lang w:val="en-US"/>
        </w:rPr>
      </w:pPr>
      <w:r>
        <w:rPr>
          <w:lang w:val="en-US"/>
        </w:rPr>
        <w:tab/>
      </w:r>
    </w:p>
    <w:p>
      <w:pPr>
        <w:tabs>
          <w:tab w:val="left" w:pos="8137"/>
        </w:tabs>
        <w:rPr>
          <w:lang w:val="en-US"/>
        </w:rPr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rPr>
          <w:lang w:val="en-US"/>
        </w:rPr>
        <w:tab/>
      </w:r>
    </w:p>
    <w:p>
      <w:pPr>
        <w:pStyle w:val="2"/>
      </w:pPr>
      <w:bookmarkStart w:id="11" w:name="_Toc154561680"/>
      <w:bookmarkStart w:id="12" w:name="_Toc452108759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154561681"/>
      <w:bookmarkStart w:id="15" w:name="_Toc452108760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1771650"/>
            <wp:effectExtent l="0" t="0" r="0" b="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771650"/>
            <wp:effectExtent l="0" t="0" r="0" b="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2~4层平面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771650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5层平面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1771650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6层平面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452108761"/>
      <w:bookmarkStart w:id="18" w:name="_Toc154561682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_Toc154561683"/>
      <w:bookmarkStart w:id="21" w:name="TitleFormat"/>
      <w:bookmarkStart w:id="22" w:name="_Toc452108762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参考标准名称1"/>
      <w:r>
        <w:rPr>
          <w:rFonts w:hint="eastAsia"/>
          <w:lang w:val="en-US"/>
        </w:rPr>
        <w:t>河南省《绿色建筑评价标准》DBJ41T 109—2020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5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5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6" w:name="_Hlk13516321"/>
    </w:p>
    <w:bookmarkEnd w:id="26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7" w:name="_Toc154561684"/>
      <w:r>
        <w:rPr>
          <w:rFonts w:hint="eastAsia"/>
        </w:rPr>
        <w:t>参考</w:t>
      </w:r>
      <w:r>
        <w:t>标准</w:t>
      </w:r>
      <w:bookmarkEnd w:id="23"/>
      <w:bookmarkEnd w:id="27"/>
    </w:p>
    <w:p>
      <w:pPr>
        <w:pStyle w:val="3"/>
        <w:ind w:firstLine="420"/>
        <w:rPr>
          <w:lang w:val="en-US"/>
        </w:rPr>
      </w:pPr>
      <w:bookmarkStart w:id="28" w:name="_Toc452108764"/>
      <w:bookmarkStart w:id="29" w:name="_Toc451698935"/>
      <w:r>
        <w:rPr>
          <w:rFonts w:hint="eastAsia"/>
          <w:lang w:val="en-US"/>
        </w:rPr>
        <w:t>室内热舒适评价的主要依据为</w:t>
      </w:r>
      <w:bookmarkStart w:id="30" w:name="参考标准名称2"/>
      <w:r>
        <w:rPr>
          <w:rFonts w:hint="eastAsia"/>
          <w:lang w:val="en-US"/>
        </w:rPr>
        <w:t>河南省《绿色建筑评价标准》DBJ41T 109—2020</w:t>
      </w:r>
      <w:bookmarkEnd w:id="30"/>
      <w:r>
        <w:rPr>
          <w:rFonts w:hint="eastAsia"/>
          <w:lang w:val="en-US"/>
        </w:rPr>
        <w:t>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1" w:name="_Toc154561685"/>
      <w:r>
        <w:rPr>
          <w:rFonts w:hint="eastAsia"/>
        </w:rPr>
        <w:t>计算</w:t>
      </w:r>
      <w:bookmarkEnd w:id="28"/>
      <w:bookmarkEnd w:id="29"/>
      <w:r>
        <w:rPr>
          <w:rFonts w:hint="eastAsia"/>
        </w:rPr>
        <w:t>方法</w:t>
      </w:r>
      <w:bookmarkEnd w:id="31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2" w:name="_Toc154561686"/>
      <w:r>
        <w:rPr>
          <w:rFonts w:hint="eastAsia"/>
        </w:rPr>
        <w:t>参数定义</w:t>
      </w:r>
      <w:bookmarkEnd w:id="32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：采用自然通风或者复合通风时对应的室内热环境参数。</w:t>
      </w:r>
    </w:p>
    <w:p>
      <w:pPr>
        <w:pStyle w:val="4"/>
      </w:pPr>
      <w:bookmarkStart w:id="33" w:name="_Toc154561687"/>
      <w:r>
        <w:rPr>
          <w:rFonts w:hint="eastAsia"/>
        </w:rPr>
        <w:t>计算流程</w:t>
      </w:r>
      <w:bookmarkEnd w:id="33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4" w:name="_Hlk36153165"/>
      <w:r>
        <w:rPr>
          <w:rFonts w:hint="eastAsia"/>
          <w:szCs w:val="21"/>
        </w:rPr>
        <w:t>室内适应性舒适温度时间比例</w:t>
      </w:r>
      <w:bookmarkEnd w:id="34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5" w:name="_Toc154561688"/>
      <w:r>
        <w:rPr>
          <w:rFonts w:hint="eastAsia"/>
        </w:rPr>
        <w:t>计算参数</w:t>
      </w:r>
      <w:bookmarkEnd w:id="35"/>
    </w:p>
    <w:p>
      <w:pPr>
        <w:pStyle w:val="5"/>
      </w:pPr>
      <w:bookmarkStart w:id="36" w:name="_Toc154561689"/>
      <w:r>
        <w:rPr>
          <w:rFonts w:hint="eastAsia"/>
        </w:rPr>
        <w:t>室外月平均温度</w:t>
      </w:r>
      <w:bookmarkEnd w:id="36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7" w:name="站台城市"/>
      <w:r>
        <w:rPr>
          <w:rFonts w:hint="eastAsia" w:ascii="Calibri" w:hAnsi="Calibri"/>
          <w:kern w:val="2"/>
          <w:lang w:val="en-US"/>
        </w:rPr>
        <w:t>郑州</w:t>
      </w:r>
      <w:bookmarkEnd w:id="37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8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8"/>
      <w:r>
        <w:drawing>
          <wp:inline distT="0" distB="0" distL="0" distR="0">
            <wp:extent cx="5667375" cy="290512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39" w:name="_Toc154561690"/>
      <w:r>
        <w:rPr>
          <w:rFonts w:hint="eastAsia"/>
        </w:rPr>
        <w:t>室内热舒适温度</w:t>
      </w:r>
      <w:bookmarkEnd w:id="39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0" w:name="室内热舒适温度表"/>
            <w:r>
              <w:rPr>
                <w:rFonts w:hint="eastAsia"/>
              </w:rPr>
              <w:t>室外月平均温度</w:t>
            </w:r>
            <w:bookmarkEnd w:id="40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1.5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3.4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8.1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27.0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22.7~29.7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25.7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22.3~29.3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21.0~28.0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15.3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19.0~26.0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7.5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1" w:name="_Toc154561691"/>
      <w:r>
        <w:rPr>
          <w:rFonts w:hint="eastAsia"/>
        </w:rPr>
        <w:t>参评时间</w:t>
      </w:r>
      <w:r>
        <w:t>段</w:t>
      </w:r>
      <w:bookmarkEnd w:id="41"/>
    </w:p>
    <w:p>
      <w:pPr>
        <w:pStyle w:val="3"/>
        <w:ind w:firstLine="420"/>
        <w:rPr>
          <w:lang w:val="en-US"/>
        </w:rPr>
      </w:pPr>
      <w:bookmarkStart w:id="42" w:name="参评时间段"/>
      <w:r>
        <w:rPr>
          <w:rFonts w:hint="eastAsia"/>
          <w:lang w:val="en-US"/>
        </w:rPr>
        <w:t>1月1日至12月31日。</w:t>
      </w:r>
      <w:bookmarkEnd w:id="42"/>
    </w:p>
    <w:p>
      <w:pPr>
        <w:pStyle w:val="5"/>
      </w:pPr>
      <w:bookmarkStart w:id="43" w:name="_Toc154561692"/>
      <w:r>
        <w:rPr>
          <w:rFonts w:hint="eastAsia"/>
        </w:rPr>
        <w:t>围护结构热工性能参数</w:t>
      </w:r>
      <w:bookmarkEnd w:id="43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2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3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4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5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6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7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8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9</w:t>
      </w:r>
      <w:r>
        <w:fldChar w:fldCharType="end"/>
      </w:r>
      <w:r>
        <w:rPr>
          <w:rFonts w:hint="eastAsia"/>
        </w:rPr>
        <w:t xml:space="preserve"> 开敞阳台外门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10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11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jc w:val="center"/>
      </w:pPr>
      <w:bookmarkStart w:id="44" w:name="_Toc36538848"/>
      <w:bookmarkStart w:id="45" w:name="_Toc452108765"/>
      <w:bookmarkStart w:id="46" w:name="_Toc451698937"/>
      <w:bookmarkStart w:id="47" w:name="_Toc451436145"/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12</w:t>
      </w:r>
      <w:r>
        <w:fldChar w:fldCharType="end"/>
      </w:r>
      <w:bookmarkStart w:id="48" w:name="表名"/>
      <w:r>
        <w:rPr>
          <w:rFonts w:hint="eastAsia"/>
        </w:rPr>
        <w:t>内窗</w:t>
      </w:r>
      <w:bookmarkEnd w:id="44"/>
      <w:bookmarkEnd w:id="48"/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bookmarkStart w:id="49" w:name="表"/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  <w:bookmarkEnd w:id="45"/>
      <w:bookmarkEnd w:id="46"/>
      <w:bookmarkEnd w:id="47"/>
      <w:bookmarkEnd w:id="49"/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50" w:name="围护结构"/>
      <w:r>
        <w:rPr>
          <w:rFonts w:hint="eastAsia"/>
        </w:rPr>
        <w:t xml:space="preserve"> </w:t>
      </w:r>
      <w:bookmarkEnd w:id="50"/>
    </w:p>
    <w:p>
      <w:pPr>
        <w:pStyle w:val="5"/>
      </w:pPr>
      <w:bookmarkStart w:id="51" w:name="_Toc154561693"/>
      <w:r>
        <w:rPr>
          <w:rFonts w:hint="eastAsia"/>
        </w:rPr>
        <w:t>房间类型参数</w:t>
      </w:r>
      <w:bookmarkEnd w:id="51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9"/>
        <w:gridCol w:w="1138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tcW w:w="1137" w:type="dxa"/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tcW w:w="1262" w:type="dxa"/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tcW w:w="1290" w:type="dxa"/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7" w:type="dxa"/>
            <w:shd w:val="clear" w:color="auto" w:fill="E6E6E6"/>
            <w:vAlign w:val="center"/>
          </w:tcPr>
          <w:p>
            <w:r>
              <w:t>起居室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tcW w:w="1137" w:type="dxa"/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≤0.3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36.6(㎡/人)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</w:pPr>
            <w:r>
              <w:t>2(W/㎡)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t>4.3(W/㎡)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bookmarkStart w:id="52" w:name="标题"/>
      <w:r>
        <w:rPr>
          <w:lang w:val="en-US"/>
        </w:rPr>
        <w:t>工作日/节假日设备逐时使用率(%)</w:t>
      </w:r>
      <w:bookmarkEnd w:id="52"/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53" w:name="房间类型"/>
      <w:bookmarkEnd w:id="53"/>
    </w:p>
    <w:p>
      <w:pPr>
        <w:pStyle w:val="2"/>
      </w:pPr>
      <w:bookmarkStart w:id="54" w:name="_Toc154561694"/>
      <w:bookmarkStart w:id="55" w:name="_Toc3745"/>
      <w:bookmarkStart w:id="56" w:name="_Toc452108768"/>
      <w:r>
        <w:rPr>
          <w:rFonts w:hint="eastAsia"/>
        </w:rPr>
        <w:t>结果</w:t>
      </w:r>
      <w:r>
        <w:t>分析</w:t>
      </w:r>
      <w:bookmarkEnd w:id="54"/>
      <w:bookmarkEnd w:id="55"/>
      <w:bookmarkEnd w:id="56"/>
    </w:p>
    <w:p>
      <w:pPr>
        <w:pStyle w:val="4"/>
      </w:pPr>
      <w:bookmarkStart w:id="57" w:name="_Toc154561695"/>
      <w:r>
        <w:rPr>
          <w:rFonts w:hint="eastAsia"/>
        </w:rPr>
        <w:t>室内适应性热舒适温度达标比例统计</w:t>
      </w:r>
      <w:bookmarkEnd w:id="57"/>
      <w:bookmarkStart w:id="58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7"/>
        <w:gridCol w:w="1075"/>
        <w:gridCol w:w="335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tcW w:w="1992" w:type="dxa"/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tcW w:w="3186" w:type="dxa"/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tcW w:w="3356" w:type="dxa"/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1</w:t>
            </w:r>
          </w:p>
        </w:tc>
        <w:tc>
          <w:tcPr>
            <w:tcW w:w="1992" w:type="dxa"/>
            <w:vAlign w:val="center"/>
          </w:tcPr>
          <w:p>
            <w:r>
              <w:t>1004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283.8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31.8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1008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28.8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25.6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1017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24.2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1066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1068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1081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1084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1085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1086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1087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1088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1089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1090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1092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1094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1095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1096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1097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1098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1099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1100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1101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1102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3.34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1111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1112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1122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22.3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1123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22.3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1124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22.3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1125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19.0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1126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19.0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1132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1134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1135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5.2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1136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4.6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1137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4.6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1141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1144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1153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1154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1155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1156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8</w:t>
            </w:r>
            <w:r>
              <w:t>4.08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1157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4.10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1158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4.10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1159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4.09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1160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1161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1162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4.08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1163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1164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2.09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1166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2.09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1168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2.11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1172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2.11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1177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2.24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1178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2.13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1181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1182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2.25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1183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1184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2.09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1234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1236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2.12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1248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3.3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1249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3.3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1251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3.3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2.69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1264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1265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1266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1267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1268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1269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1270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1271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1272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1273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1274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1275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1276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1277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4.82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1288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1290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1292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1294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1295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3.61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1296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1297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1298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1299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1300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1301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1302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1303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3.61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1378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6</w:t>
            </w:r>
            <w:r>
              <w:t>4.62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992" w:type="dxa"/>
            <w:vAlign w:val="center"/>
          </w:tcPr>
          <w:p>
            <w:r>
              <w:t>2002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304.4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1.51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31.8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1.62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28.8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2009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25.6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2016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24.2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2035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2039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2049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2052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2053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2055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2056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2058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2060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2061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2062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2064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2065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2072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2073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2076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2077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2079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2083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2091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2093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2105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2110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2118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22.3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2119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22.3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2121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22.3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2127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5.8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2133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5.8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2140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3.8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2145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2165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2167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2169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2170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2171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2173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2174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2175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2176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2179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2180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2205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2206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2207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2208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2209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2219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2220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2223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2224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2228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2233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2235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2245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2250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3.3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2257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3.3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2259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3.3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2278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2279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2280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2281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2282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2283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2284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2285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2286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2287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2289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2291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2293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2330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2331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2332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2333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2334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2335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2338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2339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2340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2343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2356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2360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2366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2369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2373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2374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2376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2.8</w:t>
            </w:r>
          </w:p>
        </w:tc>
        <w:tc>
          <w:tcPr>
            <w:tcW w:w="3356" w:type="dxa"/>
            <w:vAlign w:val="center"/>
          </w:tcPr>
          <w:p>
            <w:r>
              <w:t>63.24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5</w:t>
            </w:r>
          </w:p>
        </w:tc>
        <w:tc>
          <w:tcPr>
            <w:tcW w:w="1992" w:type="dxa"/>
            <w:vAlign w:val="center"/>
          </w:tcPr>
          <w:p>
            <w:r>
              <w:t>5001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304.4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25.6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24.8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24.2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5019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5020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5023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5024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5025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5026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5027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5028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5029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5030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5031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5032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5034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5041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5043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5044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5045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5047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5054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5057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5059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5103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5104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5108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5113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22.3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5116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22.3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5117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22.3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5129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5.8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5131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5.8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5139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3.8</w:t>
            </w:r>
          </w:p>
        </w:tc>
        <w:tc>
          <w:tcPr>
            <w:tcW w:w="3356" w:type="dxa"/>
            <w:vAlign w:val="center"/>
          </w:tcPr>
          <w:p>
            <w:r>
              <w:t>63.11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5142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3.7</w:t>
            </w:r>
          </w:p>
        </w:tc>
        <w:tc>
          <w:tcPr>
            <w:tcW w:w="3356" w:type="dxa"/>
            <w:vAlign w:val="center"/>
          </w:tcPr>
          <w:p>
            <w:r>
              <w:t>63.13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5146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5147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5150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5151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5185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5186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5187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5188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5189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5190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5191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5192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5193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5197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5213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5217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5222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5225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5227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5229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5230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5232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5237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5238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5243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5244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5247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5252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3.3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5253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3.3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5256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3.3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5260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5263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5304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5305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5306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5307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5308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5309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5310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5311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5312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5313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5314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5315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5316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5336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5348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5349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5350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5352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5353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5355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5357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5358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5359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5365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5367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5368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5370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5375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5377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2.8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restart"/>
            <w:vAlign w:val="center"/>
          </w:tcPr>
          <w:p>
            <w:r>
              <w:t>6</w:t>
            </w:r>
          </w:p>
        </w:tc>
        <w:tc>
          <w:tcPr>
            <w:tcW w:w="1992" w:type="dxa"/>
            <w:vAlign w:val="center"/>
          </w:tcPr>
          <w:p>
            <w:r>
              <w:t>6003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292.1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25.6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24.8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6018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24.2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6021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6022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6033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6036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6037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6038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6040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6042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6046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6048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6050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6051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6063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6067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6069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6070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6071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6074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6075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6078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6080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6082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6106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6107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6109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6114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22.3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6115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22.3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6120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22.3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6128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5.8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6130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5.8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6138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3.8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6143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3.7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6148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6149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6152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6194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6195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6196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6198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6199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6200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6201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6202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6203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6204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6210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6211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6212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6214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6215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6216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6218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6221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6226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6231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6239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6240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6241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6242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6246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3.4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6254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3.3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6255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3.3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6258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3.3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6261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6262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6317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6318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6319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6320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6321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6322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6323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6324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6325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6326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6327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6328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6329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6337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6341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6342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6344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6345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6346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6347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6351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6354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62.88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6361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62.82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6362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6363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6364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6371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6372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3.0</w:t>
            </w:r>
          </w:p>
        </w:tc>
        <w:tc>
          <w:tcPr>
            <w:tcW w:w="3356" w:type="dxa"/>
            <w:vAlign w:val="center"/>
          </w:tcPr>
          <w:p>
            <w:r>
              <w:t>63.12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vMerge w:val="continue"/>
            <w:vAlign w:val="center"/>
          </w:tcPr>
          <w:p/>
        </w:tc>
        <w:tc>
          <w:tcPr>
            <w:tcW w:w="1992" w:type="dxa"/>
            <w:vAlign w:val="center"/>
          </w:tcPr>
          <w:p>
            <w:r>
              <w:t>6379</w:t>
            </w:r>
          </w:p>
        </w:tc>
        <w:tc>
          <w:tcPr>
            <w:tcW w:w="3186" w:type="dxa"/>
            <w:vAlign w:val="center"/>
          </w:tcPr>
          <w:p>
            <w:r>
              <w:t>房间</w:t>
            </w:r>
          </w:p>
        </w:tc>
        <w:tc>
          <w:tcPr>
            <w:tcW w:w="1075" w:type="dxa"/>
            <w:vAlign w:val="center"/>
          </w:tcPr>
          <w:p>
            <w:r>
              <w:t>2.8</w:t>
            </w:r>
          </w:p>
        </w:tc>
        <w:tc>
          <w:tcPr>
            <w:tcW w:w="3356" w:type="dxa"/>
            <w:vAlign w:val="center"/>
          </w:tcPr>
          <w:p>
            <w:r>
              <w:t>63.16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43" w:type="dxa"/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tcW w:w="3356" w:type="dxa"/>
            <w:vAlign w:val="center"/>
          </w:tcPr>
          <w:p>
            <w:r>
              <w:rPr>
                <w:rFonts w:hint="eastAsia"/>
                <w:lang w:val="en-US" w:eastAsia="zh-CN"/>
              </w:rPr>
              <w:t>7</w:t>
            </w:r>
            <w:r>
              <w:t>3.12</w:t>
            </w:r>
          </w:p>
        </w:tc>
      </w:tr>
      <w:bookmarkEnd w:id="58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9" w:name="达标比例统计表"/>
      <w:bookmarkEnd w:id="59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60" w:name="_Toc154561696"/>
      <w:r>
        <w:rPr>
          <w:rFonts w:hint="eastAsia"/>
        </w:rPr>
        <w:t>结论</w:t>
      </w:r>
      <w:bookmarkEnd w:id="60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61" w:name="达标百分比"/>
      <w:r>
        <w:rPr>
          <w:lang w:val="en-US"/>
        </w:rPr>
        <w:t>7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val="en-US"/>
        </w:rPr>
        <w:t>.</w:t>
      </w:r>
      <w:r>
        <w:rPr>
          <w:rFonts w:hint="eastAsia"/>
          <w:lang w:val="en-US" w:eastAsia="zh-CN"/>
        </w:rPr>
        <w:t>12</w:t>
      </w:r>
      <w:bookmarkStart w:id="63" w:name="_GoBack"/>
      <w:bookmarkEnd w:id="63"/>
      <w:r>
        <w:rPr>
          <w:rFonts w:hint="eastAsia"/>
          <w:lang w:val="en-US"/>
        </w:rPr>
        <w:t>%</w:t>
      </w:r>
      <w:bookmarkEnd w:id="61"/>
      <w:r>
        <w:rPr>
          <w:rFonts w:hint="eastAsia"/>
          <w:lang w:val="en-US"/>
        </w:rPr>
        <w:t>，根据绿标5.2.9的第1条，应得</w:t>
      </w:r>
      <w:r>
        <w:rPr>
          <w:lang w:val="en-US"/>
        </w:rPr>
        <w:t>6</w:t>
      </w:r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</w:p>
    <w:p>
      <w:pPr>
        <w:pStyle w:val="3"/>
        <w:ind w:firstLine="199" w:firstLineChars="95"/>
        <w:rPr>
          <w:lang w:val="en-US"/>
        </w:rPr>
      </w:pPr>
      <w:bookmarkStart w:id="62" w:name="房间逐时温度图"/>
      <w:bookmarkEnd w:id="62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3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2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OGJhMGI2ZjI0ZDNkYmNjZGUwZDQ3YTAzOTEzNjAifQ=="/>
  </w:docVars>
  <w:rsids>
    <w:rsidRoot w:val="00347799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19B1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2E17"/>
    <w:rsid w:val="001737F9"/>
    <w:rsid w:val="00175905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1F5EAC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2F3AD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47799"/>
    <w:rsid w:val="00351C09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13F3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9560C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573F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0DB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C9E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0B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060CE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0FF547F"/>
    <w:rsid w:val="5A96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nhideWhenUsed="0" w:uiPriority="0" w:semiHidden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nhideWhenUsed="0" w:uiPriority="0" w:semiHidden="0" w:name="Block Text"/>
    <w:lsdException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uiPriority w:val="1"/>
  </w:style>
  <w:style w:type="table" w:default="1" w:styleId="2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uiPriority w:val="0"/>
    <w:pPr>
      <w:shd w:val="clear" w:color="auto" w:fill="000080"/>
    </w:pPr>
  </w:style>
  <w:style w:type="paragraph" w:styleId="15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uiPriority w:val="99"/>
    <w:rPr>
      <w:color w:val="0000FF"/>
      <w:u w:val="single"/>
    </w:rPr>
  </w:style>
  <w:style w:type="character" w:customStyle="1" w:styleId="27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28">
    <w:name w:val="标题 2 字符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字符"/>
    <w:link w:val="17"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字符"/>
    <w:link w:val="12"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字符"/>
    <w:link w:val="16"/>
    <w:uiPriority w:val="0"/>
    <w:rPr>
      <w:sz w:val="18"/>
      <w:szCs w:val="18"/>
      <w:lang w:val="en-GB"/>
    </w:rPr>
  </w:style>
  <w:style w:type="character" w:styleId="35">
    <w:name w:val="Placeholder Text"/>
    <w:semiHidden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8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字符"/>
    <w:link w:val="9"/>
    <w:uiPriority w:val="0"/>
    <w:rPr>
      <w:sz w:val="24"/>
      <w:szCs w:val="24"/>
      <w:lang w:val="en-GB"/>
    </w:rPr>
  </w:style>
  <w:style w:type="character" w:customStyle="1" w:styleId="41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42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字符"/>
    <w:link w:val="18"/>
    <w:uiPriority w:val="0"/>
    <w:rPr>
      <w:sz w:val="21"/>
      <w:szCs w:val="18"/>
      <w:lang w:val="en-GB"/>
    </w:rPr>
  </w:style>
  <w:style w:type="character" w:customStyle="1" w:styleId="44">
    <w:name w:val="文档结构图 字符"/>
    <w:link w:val="14"/>
    <w:semiHidden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wmf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2852;&#24819;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AE21-997A-4B85-8B6E-893C217D5F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Company>ths</Company>
  <Pages>1</Pages>
  <Words>2313</Words>
  <Characters>13189</Characters>
  <Lines>109</Lines>
  <Paragraphs>30</Paragraphs>
  <TotalTime>5</TotalTime>
  <ScaleCrop>false</ScaleCrop>
  <LinksUpToDate>false</LinksUpToDate>
  <CharactersWithSpaces>15472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2023-12-27T01:27:00Z</dcterms:created>
  <dc:creator>联想</dc:creator>
  <cp:lastModifiedBy>让人头大的小时</cp:lastModifiedBy>
  <cp:lastPrinted>1900-12-31T16:00:00Z</cp:lastPrinted>
  <dcterms:modified xsi:type="dcterms:W3CDTF">2023-12-27T02:14:47Z</dcterms:modified>
  <dc:title>室内热舒适预计达标比例报告书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A0B43B70490E42A5B888ACA2E28EDFE7_12</vt:lpwstr>
  </property>
</Properties>
</file>