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rPr>
          <w:rFonts w:ascii="黑体" w:hAnsi="宋体" w:eastAsia="黑体"/>
          <w:b/>
          <w:bCs/>
          <w:sz w:val="72"/>
          <w:szCs w:val="72"/>
        </w:rPr>
      </w:pPr>
    </w:p>
    <w:p>
      <w:pPr>
        <w:spacing w:before="312" w:beforeLines="100" w:line="276" w:lineRule="auto"/>
        <w:rPr>
          <w:rFonts w:ascii="黑体" w:hAnsi="宋体" w:eastAsia="黑体"/>
          <w:b/>
          <w:bCs/>
          <w:spacing w:val="60"/>
          <w:sz w:val="72"/>
          <w:szCs w:val="72"/>
        </w:rPr>
      </w:pPr>
      <w:r>
        <w:rPr>
          <w:rFonts w:hint="eastAsia" w:ascii="黑体" w:hAnsi="宋体" w:eastAsia="黑体"/>
          <w:b/>
          <w:bCs/>
          <w:spacing w:val="60"/>
          <w:sz w:val="72"/>
          <w:szCs w:val="72"/>
        </w:rPr>
        <w:t>动态采光报告书</w:t>
      </w:r>
    </w:p>
    <w:p>
      <w:pPr>
        <w:spacing w:before="312" w:beforeLines="100" w:line="276" w:lineRule="auto"/>
        <w:rPr>
          <w:rFonts w:ascii="黑体" w:hAnsi="宋体" w:eastAsia="黑体"/>
          <w:b/>
          <w:bCs/>
          <w:spacing w:val="60"/>
          <w:sz w:val="52"/>
          <w:szCs w:val="72"/>
        </w:rPr>
      </w:pPr>
      <w:r>
        <w:rPr>
          <w:rFonts w:hint="eastAsia" w:ascii="黑体" w:hAnsi="宋体" w:eastAsia="黑体"/>
          <w:b/>
          <w:bCs/>
          <w:spacing w:val="60"/>
          <w:sz w:val="52"/>
          <w:szCs w:val="72"/>
        </w:rPr>
        <w:t>公共建筑</w:t>
      </w:r>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vAlign w:val="center"/>
          </w:tcPr>
          <w:p>
            <w:pPr>
              <w:pStyle w:val="3"/>
            </w:pPr>
            <w:r>
              <w:rPr>
                <w:rFonts w:hint="eastAsia"/>
              </w:rPr>
              <w:t>工程名称</w:t>
            </w:r>
          </w:p>
        </w:tc>
        <w:tc>
          <w:tcPr>
            <w:tcW w:w="3780" w:type="dxa"/>
            <w:vAlign w:val="center"/>
          </w:tcPr>
          <w:p>
            <w:pPr>
              <w:pStyle w:val="3"/>
              <w:jc w:val="cente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设计编号</w:t>
            </w:r>
          </w:p>
        </w:tc>
        <w:tc>
          <w:tcPr>
            <w:tcW w:w="3780" w:type="dxa"/>
            <w:vAlign w:val="center"/>
          </w:tcPr>
          <w:p>
            <w:pPr>
              <w:pStyle w:val="3"/>
              <w:jc w:val="cente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建设单位</w:t>
            </w:r>
          </w:p>
        </w:tc>
        <w:tc>
          <w:tcPr>
            <w:tcW w:w="3780" w:type="dxa"/>
            <w:vAlign w:val="center"/>
          </w:tcPr>
          <w:p>
            <w:pPr>
              <w:pStyle w:val="3"/>
              <w:jc w:val="cente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设计单位</w:t>
            </w:r>
          </w:p>
        </w:tc>
        <w:tc>
          <w:tcPr>
            <w:tcW w:w="3780" w:type="dxa"/>
            <w:vAlign w:val="center"/>
          </w:tcPr>
          <w:p>
            <w:pPr>
              <w:pStyle w:val="3"/>
              <w:jc w:val="cente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审 核 人</w:t>
            </w:r>
          </w:p>
        </w:tc>
        <w:tc>
          <w:tcPr>
            <w:tcW w:w="3780" w:type="dxa"/>
            <w:vAlign w:val="center"/>
          </w:tcPr>
          <w:p>
            <w:pPr>
              <w:pStyle w:val="3"/>
              <w:jc w:val="cente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审 定 人</w:t>
            </w:r>
          </w:p>
        </w:tc>
        <w:tc>
          <w:tcPr>
            <w:tcW w:w="3780" w:type="dxa"/>
            <w:vAlign w:val="center"/>
          </w:tcPr>
          <w:p>
            <w:pPr>
              <w:pStyle w:val="3"/>
              <w:jc w:val="cente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pPr>
              <w:pStyle w:val="3"/>
            </w:pPr>
            <w:r>
              <w:rPr>
                <w:rFonts w:hint="eastAsia"/>
              </w:rPr>
              <w:t>计算日期</w:t>
            </w:r>
          </w:p>
        </w:tc>
        <w:tc>
          <w:tcPr>
            <w:tcW w:w="3780" w:type="dxa"/>
            <w:vAlign w:val="center"/>
          </w:tcPr>
          <w:p>
            <w:pPr>
              <w:pStyle w:val="3"/>
              <w:jc w:val="center"/>
            </w:pPr>
            <w:bookmarkStart w:id="6" w:name="计算日期"/>
            <w:r>
              <w:t>2024年2月20日</w:t>
            </w:r>
            <w:bookmarkEnd w:id="6"/>
          </w:p>
        </w:tc>
      </w:tr>
    </w:tbl>
    <w:p>
      <w:pPr>
        <w:rPr>
          <w:rFonts w:ascii="黑体" w:hAnsi="黑体" w:eastAsia="黑体"/>
          <w:b/>
          <w:bCs/>
          <w:sz w:val="28"/>
          <w:szCs w:val="28"/>
        </w:rPr>
      </w:pPr>
    </w:p>
    <w:p>
      <w:pPr>
        <w:pStyle w:val="3"/>
        <w:jc w:val="center"/>
      </w:pPr>
      <w:bookmarkStart w:id="7" w:name="二维码"/>
      <w:bookmarkEnd w:id="7"/>
      <w:r>
        <w:drawing>
          <wp:inline distT="0" distB="0" distL="0" distR="0">
            <wp:extent cx="2171700" cy="2171700"/>
            <wp:effectExtent l="0" t="0" r="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pPr>
        <w:pStyle w:val="3"/>
        <w:jc w:val="center"/>
      </w:pPr>
    </w:p>
    <w:p>
      <w:pPr>
        <w:rPr>
          <w:rFonts w:ascii="黑体" w:hAnsi="黑体" w:eastAsia="黑体"/>
          <w:b/>
          <w:bCs/>
          <w:sz w:val="28"/>
          <w:szCs w:val="28"/>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pPr>
              <w:pStyle w:val="3"/>
            </w:pPr>
            <w:r>
              <w:rPr>
                <w:rFonts w:hint="eastAsia"/>
              </w:rPr>
              <w:t>采用软件</w:t>
            </w:r>
          </w:p>
        </w:tc>
        <w:tc>
          <w:tcPr>
            <w:tcW w:w="3780" w:type="dxa"/>
          </w:tcPr>
          <w:p>
            <w:pPr>
              <w:pStyle w:val="3"/>
              <w:jc w:val="center"/>
            </w:pPr>
            <w:r>
              <w:rPr>
                <w:rFonts w:hint="eastAsia"/>
              </w:rPr>
              <w:t>绿建斯维尔采光分析DALI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软件版本</w:t>
            </w:r>
          </w:p>
        </w:tc>
        <w:tc>
          <w:tcPr>
            <w:tcW w:w="3780" w:type="dxa"/>
          </w:tcPr>
          <w:p>
            <w:pPr>
              <w:pStyle w:val="3"/>
              <w:jc w:val="center"/>
              <w:rPr>
                <w:szCs w:val="18"/>
              </w:rPr>
            </w:pPr>
            <w:bookmarkStart w:id="8" w:name="软件版本"/>
            <w:r>
              <w:rPr>
                <w:szCs w:val="18"/>
              </w:rPr>
              <w:t>20220808(SP1)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研发单位</w:t>
            </w:r>
          </w:p>
        </w:tc>
        <w:tc>
          <w:tcPr>
            <w:tcW w:w="3780" w:type="dxa"/>
          </w:tcPr>
          <w:p>
            <w:pPr>
              <w:pStyle w:val="3"/>
              <w:jc w:val="center"/>
              <w:rPr>
                <w:szCs w:val="18"/>
              </w:rPr>
            </w:pPr>
            <w:r>
              <w:rPr>
                <w:rFonts w:hint="eastAsia"/>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正版授权码</w:t>
            </w:r>
          </w:p>
        </w:tc>
        <w:tc>
          <w:tcPr>
            <w:tcW w:w="3780" w:type="dxa"/>
          </w:tcPr>
          <w:p>
            <w:pPr>
              <w:pStyle w:val="3"/>
              <w:jc w:val="center"/>
              <w:rPr>
                <w:szCs w:val="18"/>
              </w:rPr>
            </w:pPr>
            <w:bookmarkStart w:id="9" w:name="正版授权码"/>
            <w:r>
              <w:t>T15862176512</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pPr>
              <w:pStyle w:val="3"/>
              <w:rPr>
                <w:szCs w:val="18"/>
              </w:rPr>
            </w:pPr>
            <w:r>
              <w:rPr>
                <w:rFonts w:hint="eastAsia"/>
                <w:szCs w:val="18"/>
              </w:rPr>
              <w:t>服务热线</w:t>
            </w:r>
          </w:p>
        </w:tc>
        <w:tc>
          <w:tcPr>
            <w:tcW w:w="3780" w:type="dxa"/>
          </w:tcPr>
          <w:p>
            <w:pPr>
              <w:pStyle w:val="3"/>
              <w:jc w:val="center"/>
              <w:rPr>
                <w:szCs w:val="18"/>
              </w:rPr>
            </w:pPr>
            <w:r>
              <w:rPr>
                <w:rFonts w:hint="eastAsia"/>
                <w:color w:val="000000"/>
                <w:shd w:val="clear" w:color="auto" w:fill="FFFFFF"/>
              </w:rPr>
              <w:t>400-094-1228</w:t>
            </w:r>
          </w:p>
        </w:tc>
      </w:tr>
    </w:tbl>
    <w:p>
      <w:p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pPr>
        <w:rPr>
          <w:sz w:val="28"/>
          <w:szCs w:val="28"/>
        </w:rPr>
      </w:pPr>
      <w:bookmarkStart w:id="10" w:name="目录"/>
      <w:bookmarkStart w:id="97" w:name="_GoBack"/>
      <w:r>
        <w:rPr>
          <w:rFonts w:hint="eastAsia"/>
          <w:sz w:val="28"/>
          <w:szCs w:val="28"/>
        </w:rPr>
        <w:t>目  录</w:t>
      </w:r>
    </w:p>
    <w:p>
      <w:pPr>
        <w:pStyle w:val="19"/>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_Toc14558 </w:instrText>
      </w:r>
      <w:r>
        <w:rPr>
          <w:szCs w:val="28"/>
        </w:rPr>
        <w:fldChar w:fldCharType="separate"/>
      </w:r>
      <w:r>
        <w:rPr>
          <w:rFonts w:hint="eastAsia"/>
        </w:rPr>
        <w:t>1. 建筑概况</w:t>
      </w:r>
      <w:r>
        <w:tab/>
      </w:r>
      <w:r>
        <w:fldChar w:fldCharType="begin"/>
      </w:r>
      <w:r>
        <w:instrText xml:space="preserve"> PAGEREF _Toc14558 \h </w:instrText>
      </w:r>
      <w:r>
        <w:fldChar w:fldCharType="separate"/>
      </w:r>
      <w:r>
        <w:t>3</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_Toc18811 </w:instrText>
      </w:r>
      <w:r>
        <w:rPr>
          <w:szCs w:val="28"/>
        </w:rPr>
        <w:fldChar w:fldCharType="separate"/>
      </w:r>
      <w:r>
        <w:rPr>
          <w:rFonts w:hint="eastAsia"/>
        </w:rPr>
        <w:t>2. 计算</w:t>
      </w:r>
      <w:r>
        <w:t>目的</w:t>
      </w:r>
      <w:r>
        <w:tab/>
      </w:r>
      <w:r>
        <w:fldChar w:fldCharType="begin"/>
      </w:r>
      <w:r>
        <w:instrText xml:space="preserve"> PAGEREF _Toc18811 \h </w:instrText>
      </w:r>
      <w:r>
        <w:fldChar w:fldCharType="separate"/>
      </w:r>
      <w:r>
        <w:t>3</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_Toc5157 </w:instrText>
      </w:r>
      <w:r>
        <w:rPr>
          <w:szCs w:val="28"/>
        </w:rPr>
        <w:fldChar w:fldCharType="separate"/>
      </w:r>
      <w:r>
        <w:rPr>
          <w:rFonts w:hint="eastAsia"/>
        </w:rPr>
        <w:t>3. 分析依据</w:t>
      </w:r>
      <w:r>
        <w:tab/>
      </w:r>
      <w:r>
        <w:fldChar w:fldCharType="begin"/>
      </w:r>
      <w:r>
        <w:instrText xml:space="preserve"> PAGEREF _Toc5157 \h </w:instrText>
      </w:r>
      <w:r>
        <w:fldChar w:fldCharType="separate"/>
      </w:r>
      <w:r>
        <w:t>3</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_Toc12696 </w:instrText>
      </w:r>
      <w:r>
        <w:rPr>
          <w:szCs w:val="28"/>
        </w:rPr>
        <w:fldChar w:fldCharType="separate"/>
      </w:r>
      <w:r>
        <w:rPr>
          <w:rFonts w:hint="eastAsia" w:ascii="微软雅黑" w:hAnsi="微软雅黑" w:eastAsia="微软雅黑"/>
          <w:lang w:val="en-GB"/>
        </w:rPr>
        <w:t xml:space="preserve">3.1 </w:t>
      </w:r>
      <w:r>
        <w:rPr>
          <w:rFonts w:hint="eastAsia"/>
        </w:rPr>
        <w:t>标准依据</w:t>
      </w:r>
      <w:r>
        <w:tab/>
      </w:r>
      <w:r>
        <w:fldChar w:fldCharType="begin"/>
      </w:r>
      <w:r>
        <w:instrText xml:space="preserve"> PAGEREF _Toc12696 \h </w:instrText>
      </w:r>
      <w:r>
        <w:fldChar w:fldCharType="separate"/>
      </w:r>
      <w:r>
        <w:t>3</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_Toc18462 </w:instrText>
      </w:r>
      <w:r>
        <w:rPr>
          <w:szCs w:val="28"/>
        </w:rPr>
        <w:fldChar w:fldCharType="separate"/>
      </w:r>
      <w:r>
        <w:rPr>
          <w:rFonts w:hint="eastAsia" w:ascii="微软雅黑" w:hAnsi="微软雅黑" w:eastAsia="微软雅黑"/>
          <w:lang w:val="en-GB"/>
        </w:rPr>
        <w:t xml:space="preserve">3.2 </w:t>
      </w:r>
      <w:r>
        <w:rPr>
          <w:rFonts w:hint="eastAsia"/>
        </w:rPr>
        <w:t>标准要求</w:t>
      </w:r>
      <w:r>
        <w:tab/>
      </w:r>
      <w:r>
        <w:fldChar w:fldCharType="begin"/>
      </w:r>
      <w:r>
        <w:instrText xml:space="preserve"> PAGEREF _Toc18462 \h </w:instrText>
      </w:r>
      <w:r>
        <w:fldChar w:fldCharType="separate"/>
      </w:r>
      <w:r>
        <w:t>3</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_Toc16987 </w:instrText>
      </w:r>
      <w:r>
        <w:rPr>
          <w:szCs w:val="28"/>
        </w:rPr>
        <w:fldChar w:fldCharType="separate"/>
      </w:r>
      <w:r>
        <w:rPr>
          <w:rFonts w:hint="eastAsia"/>
        </w:rPr>
        <w:t>4. 采光分析</w:t>
      </w:r>
      <w:r>
        <w:t>概述</w:t>
      </w:r>
      <w:r>
        <w:tab/>
      </w:r>
      <w:r>
        <w:fldChar w:fldCharType="begin"/>
      </w:r>
      <w:r>
        <w:instrText xml:space="preserve"> PAGEREF _Toc16987 \h </w:instrText>
      </w:r>
      <w:r>
        <w:fldChar w:fldCharType="separate"/>
      </w:r>
      <w:r>
        <w:t>4</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_Toc15075 </w:instrText>
      </w:r>
      <w:r>
        <w:rPr>
          <w:szCs w:val="28"/>
        </w:rPr>
        <w:fldChar w:fldCharType="separate"/>
      </w:r>
      <w:r>
        <w:rPr>
          <w:rFonts w:hint="eastAsia" w:ascii="微软雅黑" w:hAnsi="微软雅黑" w:eastAsia="微软雅黑"/>
          <w:lang w:val="en-GB"/>
        </w:rPr>
        <w:t xml:space="preserve">4.1 </w:t>
      </w:r>
      <w:r>
        <w:rPr>
          <w:rFonts w:hint="eastAsia"/>
        </w:rPr>
        <w:t>基本原理</w:t>
      </w:r>
      <w:r>
        <w:tab/>
      </w:r>
      <w:r>
        <w:fldChar w:fldCharType="begin"/>
      </w:r>
      <w:r>
        <w:instrText xml:space="preserve"> PAGEREF _Toc15075 \h </w:instrText>
      </w:r>
      <w:r>
        <w:fldChar w:fldCharType="separate"/>
      </w:r>
      <w:r>
        <w:t>4</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_Toc31103 </w:instrText>
      </w:r>
      <w:r>
        <w:rPr>
          <w:szCs w:val="28"/>
        </w:rPr>
        <w:fldChar w:fldCharType="separate"/>
      </w:r>
      <w:r>
        <w:rPr>
          <w:rFonts w:hint="eastAsia" w:ascii="微软雅黑" w:hAnsi="微软雅黑" w:eastAsia="微软雅黑"/>
          <w:lang w:val="en-GB"/>
        </w:rPr>
        <w:t xml:space="preserve">4.2 </w:t>
      </w:r>
      <w:r>
        <w:rPr>
          <w:rFonts w:hint="eastAsia"/>
        </w:rPr>
        <w:t>计算方法</w:t>
      </w:r>
      <w:r>
        <w:tab/>
      </w:r>
      <w:r>
        <w:fldChar w:fldCharType="begin"/>
      </w:r>
      <w:r>
        <w:instrText xml:space="preserve"> PAGEREF _Toc31103 \h </w:instrText>
      </w:r>
      <w:r>
        <w:fldChar w:fldCharType="separate"/>
      </w:r>
      <w:r>
        <w:t>5</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_Toc27456 </w:instrText>
      </w:r>
      <w:r>
        <w:rPr>
          <w:szCs w:val="28"/>
        </w:rPr>
        <w:fldChar w:fldCharType="separate"/>
      </w:r>
      <w:r>
        <w:rPr>
          <w:rFonts w:hint="eastAsia" w:ascii="微软雅黑" w:hAnsi="微软雅黑" w:eastAsia="微软雅黑"/>
          <w:lang w:val="en-GB"/>
        </w:rPr>
        <w:t xml:space="preserve">4.3 </w:t>
      </w:r>
      <w:r>
        <w:t>软件</w:t>
      </w:r>
      <w:r>
        <w:rPr>
          <w:rFonts w:hint="eastAsia"/>
        </w:rPr>
        <w:t>选用</w:t>
      </w:r>
      <w:r>
        <w:tab/>
      </w:r>
      <w:r>
        <w:fldChar w:fldCharType="begin"/>
      </w:r>
      <w:r>
        <w:instrText xml:space="preserve"> PAGEREF _Toc27456 \h </w:instrText>
      </w:r>
      <w:r>
        <w:fldChar w:fldCharType="separate"/>
      </w:r>
      <w:r>
        <w:t>5</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_Toc23215 </w:instrText>
      </w:r>
      <w:r>
        <w:rPr>
          <w:szCs w:val="28"/>
        </w:rPr>
        <w:fldChar w:fldCharType="separate"/>
      </w:r>
      <w:r>
        <w:rPr>
          <w:rFonts w:hint="eastAsia"/>
        </w:rPr>
        <w:t>5. 采光计算</w:t>
      </w:r>
      <w:r>
        <w:t>参数</w:t>
      </w:r>
      <w:r>
        <w:rPr>
          <w:rFonts w:hint="eastAsia"/>
        </w:rPr>
        <w:t>取值</w:t>
      </w:r>
      <w:r>
        <w:tab/>
      </w:r>
      <w:r>
        <w:fldChar w:fldCharType="begin"/>
      </w:r>
      <w:r>
        <w:instrText xml:space="preserve"> PAGEREF _Toc23215 \h </w:instrText>
      </w:r>
      <w:r>
        <w:fldChar w:fldCharType="separate"/>
      </w:r>
      <w:r>
        <w:t>6</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_Toc5629 </w:instrText>
      </w:r>
      <w:r>
        <w:rPr>
          <w:szCs w:val="28"/>
        </w:rPr>
        <w:fldChar w:fldCharType="separate"/>
      </w:r>
      <w:r>
        <w:rPr>
          <w:rFonts w:hint="eastAsia" w:ascii="微软雅黑" w:hAnsi="微软雅黑" w:eastAsia="微软雅黑"/>
          <w:lang w:val="en-GB"/>
        </w:rPr>
        <w:t xml:space="preserve">5.1 </w:t>
      </w:r>
      <w:r>
        <w:t>模拟</w:t>
      </w:r>
      <w:r>
        <w:rPr>
          <w:rFonts w:hint="eastAsia"/>
        </w:rPr>
        <w:t>分析条件说明</w:t>
      </w:r>
      <w:r>
        <w:tab/>
      </w:r>
      <w:r>
        <w:fldChar w:fldCharType="begin"/>
      </w:r>
      <w:r>
        <w:instrText xml:space="preserve"> PAGEREF _Toc5629 \h </w:instrText>
      </w:r>
      <w:r>
        <w:fldChar w:fldCharType="separate"/>
      </w:r>
      <w:r>
        <w:t>6</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_Toc53 </w:instrText>
      </w:r>
      <w:r>
        <w:rPr>
          <w:szCs w:val="28"/>
        </w:rPr>
        <w:fldChar w:fldCharType="separate"/>
      </w:r>
      <w:r>
        <w:rPr>
          <w:rFonts w:hint="eastAsia" w:ascii="微软雅黑" w:hAnsi="微软雅黑" w:eastAsia="微软雅黑"/>
          <w:lang w:val="en-GB"/>
        </w:rPr>
        <w:t xml:space="preserve">5.2 </w:t>
      </w:r>
      <w:r>
        <w:rPr>
          <w:rFonts w:hint="eastAsia"/>
        </w:rPr>
        <w:t>建筑饰面材料参数</w:t>
      </w:r>
      <w:r>
        <w:tab/>
      </w:r>
      <w:r>
        <w:fldChar w:fldCharType="begin"/>
      </w:r>
      <w:r>
        <w:instrText xml:space="preserve"> PAGEREF _Toc53 \h </w:instrText>
      </w:r>
      <w:r>
        <w:fldChar w:fldCharType="separate"/>
      </w:r>
      <w:r>
        <w:t>6</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_Toc596 </w:instrText>
      </w:r>
      <w:r>
        <w:rPr>
          <w:szCs w:val="28"/>
        </w:rPr>
        <w:fldChar w:fldCharType="separate"/>
      </w:r>
      <w:r>
        <w:rPr>
          <w:rFonts w:hint="eastAsia" w:ascii="微软雅黑" w:hAnsi="微软雅黑" w:eastAsia="微软雅黑"/>
          <w:lang w:val="en-GB"/>
        </w:rPr>
        <w:t xml:space="preserve">5.3 </w:t>
      </w:r>
      <w:r>
        <w:rPr>
          <w:rFonts w:hint="eastAsia"/>
        </w:rPr>
        <w:t>门窗类型参数</w:t>
      </w:r>
      <w:r>
        <w:tab/>
      </w:r>
      <w:r>
        <w:fldChar w:fldCharType="begin"/>
      </w:r>
      <w:r>
        <w:instrText xml:space="preserve"> PAGEREF _Toc596 \h </w:instrText>
      </w:r>
      <w:r>
        <w:fldChar w:fldCharType="separate"/>
      </w:r>
      <w:r>
        <w:t>6</w:t>
      </w:r>
      <w:r>
        <w:fldChar w:fldCharType="end"/>
      </w:r>
      <w:r>
        <w:rPr>
          <w:szCs w:val="28"/>
        </w:rPr>
        <w:fldChar w:fldCharType="end"/>
      </w:r>
    </w:p>
    <w:p>
      <w:pPr>
        <w:pStyle w:val="15"/>
        <w:tabs>
          <w:tab w:val="right" w:leader="dot" w:pos="9070"/>
          <w:tab w:val="clear" w:pos="900"/>
          <w:tab w:val="clear" w:pos="1260"/>
          <w:tab w:val="clear" w:pos="9360"/>
        </w:tabs>
      </w:pPr>
      <w:r>
        <w:rPr>
          <w:szCs w:val="28"/>
        </w:rPr>
        <w:fldChar w:fldCharType="begin"/>
      </w:r>
      <w:r>
        <w:rPr>
          <w:szCs w:val="28"/>
        </w:rPr>
        <w:instrText xml:space="preserve"> HYPERLINK \l _Toc14870 </w:instrText>
      </w:r>
      <w:r>
        <w:rPr>
          <w:szCs w:val="28"/>
        </w:rPr>
        <w:fldChar w:fldCharType="separate"/>
      </w:r>
      <w:r>
        <w:rPr>
          <w:rFonts w:hint="eastAsia" w:ascii="微软雅黑" w:hAnsi="微软雅黑" w:eastAsia="微软雅黑"/>
          <w:szCs w:val="24"/>
          <w:lang w:val="en-GB"/>
        </w:rPr>
        <w:t xml:space="preserve">5.3.1 </w:t>
      </w:r>
      <w:r>
        <w:t>普通</w:t>
      </w:r>
      <w:r>
        <w:rPr>
          <w:rFonts w:hint="eastAsia"/>
        </w:rPr>
        <w:t>窗</w:t>
      </w:r>
      <w:r>
        <w:tab/>
      </w:r>
      <w:r>
        <w:fldChar w:fldCharType="begin"/>
      </w:r>
      <w:r>
        <w:instrText xml:space="preserve"> PAGEREF _Toc14870 \h </w:instrText>
      </w:r>
      <w:r>
        <w:fldChar w:fldCharType="separate"/>
      </w:r>
      <w:r>
        <w:t>6</w:t>
      </w:r>
      <w:r>
        <w:fldChar w:fldCharType="end"/>
      </w:r>
      <w:r>
        <w:rPr>
          <w:szCs w:val="28"/>
        </w:rPr>
        <w:fldChar w:fldCharType="end"/>
      </w:r>
    </w:p>
    <w:p>
      <w:pPr>
        <w:pStyle w:val="15"/>
        <w:tabs>
          <w:tab w:val="right" w:leader="dot" w:pos="9070"/>
          <w:tab w:val="clear" w:pos="900"/>
          <w:tab w:val="clear" w:pos="1260"/>
          <w:tab w:val="clear" w:pos="9360"/>
        </w:tabs>
      </w:pPr>
      <w:r>
        <w:rPr>
          <w:szCs w:val="28"/>
        </w:rPr>
        <w:fldChar w:fldCharType="begin"/>
      </w:r>
      <w:r>
        <w:rPr>
          <w:szCs w:val="28"/>
        </w:rPr>
        <w:instrText xml:space="preserve"> HYPERLINK \l _Toc5920 </w:instrText>
      </w:r>
      <w:r>
        <w:rPr>
          <w:szCs w:val="28"/>
        </w:rPr>
        <w:fldChar w:fldCharType="separate"/>
      </w:r>
      <w:r>
        <w:rPr>
          <w:rFonts w:hint="eastAsia" w:ascii="微软雅黑" w:hAnsi="微软雅黑" w:eastAsia="微软雅黑"/>
          <w:szCs w:val="24"/>
          <w:lang w:val="en-GB"/>
        </w:rPr>
        <w:t xml:space="preserve">5.3.2 </w:t>
      </w:r>
      <w:r>
        <w:rPr>
          <w:rFonts w:hint="eastAsia"/>
        </w:rPr>
        <w:t>玻璃幕墙</w:t>
      </w:r>
      <w:r>
        <w:tab/>
      </w:r>
      <w:r>
        <w:fldChar w:fldCharType="begin"/>
      </w:r>
      <w:r>
        <w:instrText xml:space="preserve"> PAGEREF _Toc5920 \h </w:instrText>
      </w:r>
      <w:r>
        <w:fldChar w:fldCharType="separate"/>
      </w:r>
      <w:r>
        <w:t>7</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_Toc30465 </w:instrText>
      </w:r>
      <w:r>
        <w:rPr>
          <w:szCs w:val="28"/>
        </w:rPr>
        <w:fldChar w:fldCharType="separate"/>
      </w:r>
      <w:r>
        <w:rPr>
          <w:rFonts w:hint="eastAsia"/>
        </w:rPr>
        <w:t>6. 动态采光达标统计</w:t>
      </w:r>
      <w:r>
        <w:tab/>
      </w:r>
      <w:r>
        <w:fldChar w:fldCharType="begin"/>
      </w:r>
      <w:r>
        <w:instrText xml:space="preserve"> PAGEREF _Toc30465 \h </w:instrText>
      </w:r>
      <w:r>
        <w:fldChar w:fldCharType="separate"/>
      </w:r>
      <w:r>
        <w:t>7</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_Toc9873 </w:instrText>
      </w:r>
      <w:r>
        <w:rPr>
          <w:szCs w:val="28"/>
        </w:rPr>
        <w:fldChar w:fldCharType="separate"/>
      </w:r>
      <w:r>
        <w:rPr>
          <w:rFonts w:hint="eastAsia"/>
        </w:rPr>
        <w:t>7. 动态采光统计图</w:t>
      </w:r>
      <w:r>
        <w:tab/>
      </w:r>
      <w:r>
        <w:fldChar w:fldCharType="begin"/>
      </w:r>
      <w:r>
        <w:instrText xml:space="preserve"> PAGEREF _Toc9873 \h </w:instrText>
      </w:r>
      <w:r>
        <w:fldChar w:fldCharType="separate"/>
      </w:r>
      <w:r>
        <w:t>7</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_Toc19898 </w:instrText>
      </w:r>
      <w:r>
        <w:rPr>
          <w:szCs w:val="28"/>
        </w:rPr>
        <w:fldChar w:fldCharType="separate"/>
      </w:r>
      <w:r>
        <w:rPr>
          <w:rFonts w:hint="eastAsia"/>
        </w:rPr>
        <w:t>8. 评价结论</w:t>
      </w:r>
      <w:r>
        <w:tab/>
      </w:r>
      <w:r>
        <w:fldChar w:fldCharType="begin"/>
      </w:r>
      <w:r>
        <w:instrText xml:space="preserve"> PAGEREF _Toc19898 \h </w:instrText>
      </w:r>
      <w:r>
        <w:fldChar w:fldCharType="separate"/>
      </w:r>
      <w:r>
        <w:t>8</w:t>
      </w:r>
      <w:r>
        <w:fldChar w:fldCharType="end"/>
      </w:r>
      <w:r>
        <w:rPr>
          <w:szCs w:val="28"/>
        </w:rPr>
        <w:fldChar w:fldCharType="end"/>
      </w:r>
    </w:p>
    <w:p>
      <w:pPr>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10"/>
      <w:bookmarkEnd w:id="97"/>
    </w:p>
    <w:p>
      <w:pPr>
        <w:pStyle w:val="2"/>
        <w:ind w:left="432" w:hanging="432"/>
      </w:pPr>
      <w:r>
        <w:rPr>
          <w:szCs w:val="21"/>
        </w:rPr>
        <w:tab/>
      </w:r>
      <w:bookmarkStart w:id="11" w:name="_Toc512608176"/>
      <w:bookmarkStart w:id="12" w:name="_Toc14558"/>
      <w:r>
        <w:rPr>
          <w:rFonts w:hint="eastAsia"/>
        </w:rPr>
        <w:t>建筑概况</w:t>
      </w:r>
      <w:bookmarkEnd w:id="11"/>
      <w:bookmarkEnd w:id="12"/>
    </w:p>
    <w:tbl>
      <w:tblPr>
        <w:tblStyle w:val="22"/>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lang w:val="en-US"/>
              </w:rPr>
              <w:t>项目所在地</w:t>
            </w:r>
          </w:p>
        </w:tc>
        <w:tc>
          <w:tcPr>
            <w:tcW w:w="6447" w:type="dxa"/>
            <w:gridSpan w:val="3"/>
          </w:tcPr>
          <w:p>
            <w:pPr>
              <w:pStyle w:val="3"/>
              <w:rPr>
                <w:lang w:val="en-US"/>
              </w:rPr>
            </w:pPr>
            <w:bookmarkStart w:id="13" w:name="项目地点"/>
            <w:r>
              <w:t>普洱</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光气候分区</w:t>
            </w:r>
          </w:p>
        </w:tc>
        <w:tc>
          <w:tcPr>
            <w:tcW w:w="2624" w:type="dxa"/>
          </w:tcPr>
          <w:p>
            <w:pPr>
              <w:pStyle w:val="3"/>
              <w:rPr>
                <w:lang w:val="en-US"/>
              </w:rPr>
            </w:pPr>
            <w:bookmarkStart w:id="14" w:name="光气候分区"/>
            <w:r>
              <w:t>II</w:t>
            </w:r>
            <w:bookmarkEnd w:id="14"/>
          </w:p>
        </w:tc>
        <w:tc>
          <w:tcPr>
            <w:tcW w:w="1757" w:type="dxa"/>
            <w:shd w:val="clear" w:color="auto" w:fill="E0E0E0"/>
          </w:tcPr>
          <w:p>
            <w:pPr>
              <w:pStyle w:val="3"/>
              <w:rPr>
                <w:lang w:val="en-US"/>
              </w:rPr>
            </w:pPr>
            <w:r>
              <w:rPr>
                <w:rFonts w:hint="eastAsia"/>
                <w:lang w:val="en-US"/>
              </w:rPr>
              <w:t>光气候系数K</w:t>
            </w:r>
          </w:p>
        </w:tc>
        <w:tc>
          <w:tcPr>
            <w:tcW w:w="2066" w:type="dxa"/>
          </w:tcPr>
          <w:p>
            <w:pPr>
              <w:pStyle w:val="3"/>
              <w:rPr>
                <w:lang w:val="en-US"/>
              </w:rPr>
            </w:pPr>
            <w:bookmarkStart w:id="15" w:name="光气候系数K"/>
            <w:r>
              <w:t>0.90</w:t>
            </w:r>
            <w:bookmarkEnd w:id="1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建筑面积</w:t>
            </w:r>
          </w:p>
        </w:tc>
        <w:tc>
          <w:tcPr>
            <w:tcW w:w="6447" w:type="dxa"/>
            <w:gridSpan w:val="3"/>
          </w:tcPr>
          <w:p>
            <w:pPr>
              <w:pStyle w:val="3"/>
              <w:rPr>
                <w:lang w:val="en-US"/>
              </w:rPr>
            </w:pPr>
            <w:r>
              <w:rPr>
                <w:rFonts w:hint="eastAsia"/>
                <w:lang w:val="en-US"/>
              </w:rPr>
              <w:t xml:space="preserve">地上  </w:t>
            </w:r>
            <w:bookmarkStart w:id="16" w:name="地上建筑面积"/>
            <w:r>
              <w:t>539.91</w:t>
            </w:r>
            <w:bookmarkEnd w:id="16"/>
            <w:r>
              <w:rPr>
                <w:rFonts w:hint="eastAsia"/>
              </w:rPr>
              <w:t>㎡</w:t>
            </w:r>
            <w:r>
              <w:rPr>
                <w:rFonts w:hint="eastAsia"/>
                <w:lang w:val="en-US"/>
              </w:rPr>
              <w:t xml:space="preserve">    地下  </w:t>
            </w:r>
            <w:bookmarkStart w:id="17" w:name="地下建筑面积"/>
            <w:r>
              <w:t>0.00</w:t>
            </w:r>
            <w:bookmarkEnd w:id="17"/>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建筑层数</w:t>
            </w:r>
          </w:p>
        </w:tc>
        <w:tc>
          <w:tcPr>
            <w:tcW w:w="6447" w:type="dxa"/>
            <w:gridSpan w:val="3"/>
          </w:tcPr>
          <w:p>
            <w:pPr>
              <w:pStyle w:val="3"/>
              <w:rPr>
                <w:lang w:val="en-US"/>
              </w:rPr>
            </w:pPr>
            <w:r>
              <w:rPr>
                <w:rFonts w:hint="eastAsia"/>
                <w:lang w:val="en-US"/>
              </w:rPr>
              <w:t xml:space="preserve">地上  </w:t>
            </w:r>
            <w:bookmarkStart w:id="18" w:name="地上建筑层数"/>
            <w:r>
              <w:t>3</w:t>
            </w:r>
            <w:bookmarkEnd w:id="18"/>
            <w:r>
              <w:rPr>
                <w:rFonts w:hint="eastAsia"/>
                <w:lang w:val="en-US"/>
              </w:rPr>
              <w:t xml:space="preserve">          地下 </w:t>
            </w:r>
            <w:bookmarkStart w:id="19" w:name="地下建筑层数"/>
            <w:r>
              <w:t>0</w:t>
            </w:r>
            <w:bookmarkEnd w:id="1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建筑高度</w:t>
            </w:r>
          </w:p>
        </w:tc>
        <w:tc>
          <w:tcPr>
            <w:tcW w:w="6447" w:type="dxa"/>
            <w:gridSpan w:val="3"/>
          </w:tcPr>
          <w:p>
            <w:pPr>
              <w:pStyle w:val="3"/>
              <w:rPr>
                <w:lang w:val="en-US"/>
              </w:rPr>
            </w:pPr>
            <w:r>
              <w:rPr>
                <w:rFonts w:hint="eastAsia"/>
                <w:lang w:val="en-US"/>
              </w:rPr>
              <w:t xml:space="preserve">地上 </w:t>
            </w:r>
            <w:bookmarkStart w:id="20" w:name="地上建筑高度"/>
            <w:r>
              <w:t>17.00</w:t>
            </w:r>
            <w:bookmarkEnd w:id="20"/>
            <w:r>
              <w:rPr>
                <w:rFonts w:hint="eastAsia"/>
                <w:lang w:val="en-US"/>
              </w:rPr>
              <w:t xml:space="preserve"> m     地下  </w:t>
            </w:r>
            <w:bookmarkStart w:id="21" w:name="地下建筑高度"/>
            <w:r>
              <w:t>0.00</w:t>
            </w:r>
            <w:bookmarkEnd w:id="21"/>
            <w:r>
              <w:rPr>
                <w:rFonts w:hint="eastAsia"/>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rPr>
              <w:t>备注</w:t>
            </w:r>
          </w:p>
        </w:tc>
        <w:tc>
          <w:tcPr>
            <w:tcW w:w="6447" w:type="dxa"/>
            <w:gridSpan w:val="3"/>
          </w:tcPr>
          <w:p>
            <w:pPr>
              <w:pStyle w:val="3"/>
              <w:rPr>
                <w:lang w:val="en-US"/>
              </w:rPr>
            </w:pPr>
            <w:bookmarkStart w:id="22" w:name="备注"/>
            <w:bookmarkEnd w:id="22"/>
          </w:p>
        </w:tc>
      </w:tr>
    </w:tbl>
    <w:p>
      <w:pPr>
        <w:rPr>
          <w:lang w:val="en-US"/>
        </w:rPr>
      </w:pPr>
    </w:p>
    <w:p>
      <w:pPr>
        <w:pStyle w:val="3"/>
        <w:jc w:val="center"/>
        <w:rPr>
          <w:lang w:val="en-US"/>
        </w:rPr>
      </w:pPr>
    </w:p>
    <w:p>
      <w:pPr>
        <w:pStyle w:val="2"/>
        <w:ind w:left="432" w:hanging="432"/>
      </w:pPr>
      <w:bookmarkStart w:id="23" w:name="_Toc512608178"/>
      <w:bookmarkStart w:id="24" w:name="_Toc18811"/>
      <w:r>
        <w:rPr>
          <w:rFonts w:hint="eastAsia"/>
        </w:rPr>
        <w:t>计算</w:t>
      </w:r>
      <w:r>
        <w:t>目的</w:t>
      </w:r>
      <w:bookmarkEnd w:id="23"/>
      <w:bookmarkEnd w:id="24"/>
    </w:p>
    <w:p>
      <w:pPr>
        <w:pStyle w:val="3"/>
        <w:ind w:firstLine="420" w:firstLineChars="200"/>
      </w:pPr>
      <w:r>
        <w:rPr>
          <w:rFonts w:hint="eastAsia"/>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pPr>
        <w:pStyle w:val="2"/>
        <w:ind w:left="432" w:hanging="432"/>
      </w:pPr>
      <w:bookmarkStart w:id="25" w:name="_Toc512608177"/>
      <w:bookmarkStart w:id="26" w:name="_Toc5157"/>
      <w:r>
        <w:rPr>
          <w:rFonts w:hint="eastAsia"/>
        </w:rPr>
        <w:t>分析依据</w:t>
      </w:r>
      <w:bookmarkEnd w:id="25"/>
      <w:bookmarkEnd w:id="26"/>
    </w:p>
    <w:p>
      <w:pPr>
        <w:pStyle w:val="4"/>
      </w:pPr>
      <w:bookmarkStart w:id="27" w:name="_Toc12696"/>
      <w:r>
        <w:rPr>
          <w:rFonts w:hint="eastAsia"/>
        </w:rPr>
        <w:t>标准依据</w:t>
      </w:r>
      <w:bookmarkEnd w:id="27"/>
    </w:p>
    <w:p>
      <w:pPr>
        <w:pStyle w:val="3"/>
        <w:numPr>
          <w:ilvl w:val="0"/>
          <w:numId w:val="2"/>
        </w:numPr>
        <w:rPr>
          <w:lang w:val="en-US"/>
        </w:rPr>
      </w:pPr>
      <w:bookmarkStart w:id="28" w:name="_Toc512608179"/>
      <w:r>
        <w:rPr>
          <w:lang w:val="en-US"/>
        </w:rPr>
        <w:t>《绿色建筑评价标准》GB/T 50378-2019</w:t>
      </w:r>
    </w:p>
    <w:p>
      <w:pPr>
        <w:pStyle w:val="3"/>
        <w:numPr>
          <w:ilvl w:val="0"/>
          <w:numId w:val="2"/>
        </w:numPr>
        <w:rPr>
          <w:lang w:val="en-US"/>
        </w:rPr>
      </w:pPr>
      <w:r>
        <w:rPr>
          <w:lang w:val="en-US"/>
        </w:rPr>
        <w:t>《建筑采光设计标准》GB 50033-2013</w:t>
      </w:r>
    </w:p>
    <w:p>
      <w:pPr>
        <w:pStyle w:val="3"/>
        <w:numPr>
          <w:ilvl w:val="0"/>
          <w:numId w:val="2"/>
        </w:numPr>
        <w:rPr>
          <w:sz w:val="24"/>
          <w:lang w:val="en-US"/>
        </w:rPr>
      </w:pPr>
      <w:r>
        <w:rPr>
          <w:rFonts w:hint="eastAsia"/>
          <w:sz w:val="24"/>
          <w:lang w:val="en-US"/>
        </w:rPr>
        <w:t>《</w:t>
      </w:r>
      <w:r>
        <w:rPr>
          <w:rFonts w:hint="eastAsia"/>
          <w:lang w:val="en-US"/>
        </w:rPr>
        <w:t>绿色建筑评价标准技术细则2019》</w:t>
      </w:r>
    </w:p>
    <w:p>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pPr>
        <w:pStyle w:val="3"/>
        <w:numPr>
          <w:ilvl w:val="0"/>
          <w:numId w:val="2"/>
        </w:numPr>
        <w:rPr>
          <w:lang w:val="en-US"/>
        </w:rPr>
      </w:pPr>
      <w:r>
        <w:rPr>
          <w:lang w:val="en-US"/>
        </w:rPr>
        <w:t>《采光测量方法》GB/T 5699-2017</w:t>
      </w:r>
    </w:p>
    <w:p>
      <w:pPr>
        <w:pStyle w:val="4"/>
      </w:pPr>
      <w:bookmarkStart w:id="29" w:name="_Toc18462"/>
      <w:r>
        <w:rPr>
          <w:rFonts w:hint="eastAsia"/>
        </w:rPr>
        <w:t>标准要求</w:t>
      </w:r>
      <w:bookmarkEnd w:id="28"/>
      <w:bookmarkEnd w:id="29"/>
    </w:p>
    <w:p>
      <w:pPr>
        <w:pStyle w:val="3"/>
        <w:spacing w:line="360" w:lineRule="auto"/>
        <w:ind w:firstLine="420"/>
        <w:rPr>
          <w:rFonts w:ascii="宋体" w:hAnsi="宋体"/>
          <w:b/>
          <w:lang w:val="en-US"/>
        </w:rPr>
      </w:pPr>
      <w:r>
        <w:rPr>
          <w:rFonts w:hint="eastAsia" w:ascii="宋体" w:hAnsi="宋体"/>
          <w:lang w:val="en-US"/>
        </w:rPr>
        <w:t>■</w:t>
      </w:r>
      <w:r>
        <w:rPr>
          <w:rFonts w:hint="eastAsia"/>
          <w:lang w:val="en-US"/>
        </w:rPr>
        <w:t xml:space="preserve"> </w:t>
      </w:r>
      <w:r>
        <w:rPr>
          <w:rFonts w:hint="eastAsia"/>
          <w:b/>
          <w:lang w:val="en-US"/>
        </w:rPr>
        <w:t>《绿色建筑评价标准》GB/T 50378-2019</w:t>
      </w:r>
      <w:r>
        <w:rPr>
          <w:b/>
          <w:lang w:val="en-US"/>
        </w:rPr>
        <w:t xml:space="preserve">    </w:t>
      </w:r>
    </w:p>
    <w:p>
      <w:pPr>
        <w:pStyle w:val="3"/>
        <w:ind w:left="360" w:leftChars="200"/>
        <w:rPr>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pPr>
        <w:pStyle w:val="3"/>
        <w:ind w:left="360" w:leftChars="200"/>
      </w:pPr>
      <w:r>
        <w:t>公共建筑：室内主要功能空间至少60%面积比例区域的采光照度值不低于采光要求的小时数平均不少于4h/d，得3分。</w:t>
      </w:r>
    </w:p>
    <w:p>
      <w:pPr>
        <w:pStyle w:val="3"/>
        <w:spacing w:line="360" w:lineRule="auto"/>
        <w:ind w:firstLine="420"/>
        <w:rPr>
          <w:rFonts w:ascii="宋体" w:hAnsi="宋体"/>
          <w:b/>
          <w:lang w:val="en-US"/>
        </w:rPr>
      </w:pPr>
      <w:r>
        <w:rPr>
          <w:rFonts w:hint="eastAsia" w:ascii="宋体" w:hAnsi="宋体"/>
          <w:lang w:val="en-US"/>
        </w:rPr>
        <w:t xml:space="preserve">■ </w:t>
      </w:r>
      <w:r>
        <w:rPr>
          <w:rFonts w:hint="eastAsia"/>
          <w:b/>
          <w:lang w:val="en-US"/>
        </w:rPr>
        <w:t>《</w:t>
      </w:r>
      <w:r>
        <w:rPr>
          <w:b/>
          <w:lang w:val="en-US"/>
        </w:rPr>
        <w:t>建筑采光设计标准</w:t>
      </w:r>
      <w:r>
        <w:rPr>
          <w:rFonts w:hint="eastAsia"/>
          <w:b/>
          <w:lang w:val="en-US"/>
        </w:rPr>
        <w:t>》</w:t>
      </w:r>
      <w:r>
        <w:rPr>
          <w:b/>
          <w:lang w:val="en-US"/>
        </w:rPr>
        <w:t>GB 50033</w:t>
      </w:r>
    </w:p>
    <w:p>
      <w:pPr>
        <w:pStyle w:val="3"/>
        <w:ind w:firstLine="420" w:firstLineChars="200"/>
      </w:pPr>
      <w:r>
        <w:rPr>
          <w:rFonts w:hint="eastAsia"/>
        </w:rPr>
        <w:t>采光要求</w:t>
      </w:r>
      <w:r>
        <w:t>需要根据场所的视觉</w:t>
      </w:r>
      <w:r>
        <w:rPr>
          <w:rFonts w:hint="eastAsia"/>
        </w:rPr>
        <w:t>活动</w:t>
      </w:r>
      <w:r>
        <w:t>特点及现行国家标准</w:t>
      </w:r>
      <w:r>
        <w:rPr>
          <w:rFonts w:hint="eastAsia"/>
        </w:rPr>
        <w:t>《</w:t>
      </w:r>
      <w:r>
        <w:t>建筑采光设计标准</w:t>
      </w:r>
      <w:r>
        <w:rPr>
          <w:rFonts w:hint="eastAsia"/>
        </w:rPr>
        <w:t>》</w:t>
      </w:r>
      <w:r>
        <w:t>GB 50033</w:t>
      </w:r>
      <w:r>
        <w:rPr>
          <w:rFonts w:hint="eastAsia"/>
        </w:rPr>
        <w:t>对于</w:t>
      </w:r>
      <w:r>
        <w:t>不同场所的采光</w:t>
      </w:r>
      <w:r>
        <w:rPr>
          <w:rFonts w:hint="eastAsia"/>
        </w:rPr>
        <w:t>照度</w:t>
      </w:r>
      <w:r>
        <w:t>标准值的规定来确定</w:t>
      </w:r>
      <w:r>
        <w:rPr>
          <w:rFonts w:hint="eastAsia"/>
        </w:rPr>
        <w:t>。本项目为</w:t>
      </w:r>
      <w:bookmarkStart w:id="30" w:name="建筑类型"/>
      <w:r>
        <w:rPr>
          <w:rFonts w:hint="eastAsia"/>
        </w:rPr>
        <w:t>展览建筑</w:t>
      </w:r>
      <w:bookmarkEnd w:id="30"/>
      <w:r>
        <w:rPr>
          <w:rFonts w:hint="eastAsia"/>
        </w:rPr>
        <w:t>，</w:t>
      </w:r>
      <w:r>
        <w:t>根据</w:t>
      </w:r>
      <w:r>
        <w:rPr>
          <w:rFonts w:hint="eastAsia"/>
        </w:rPr>
        <w:t>标准要求的采光照度值根据对应</w:t>
      </w:r>
      <w:r>
        <w:t>房间类型</w:t>
      </w:r>
      <w:r>
        <w:rPr>
          <w:rFonts w:hint="eastAsia"/>
        </w:rPr>
        <w:t>确定。</w:t>
      </w:r>
    </w:p>
    <w:p>
      <w:pPr>
        <w:pStyle w:val="14"/>
        <w:spacing w:line="240" w:lineRule="auto"/>
        <w:ind w:firstLine="420"/>
        <w:rPr>
          <w:rFonts w:ascii="微软雅黑" w:hAnsi="微软雅黑"/>
          <w:sz w:val="21"/>
          <w:szCs w:val="21"/>
        </w:rPr>
      </w:pPr>
      <w:bookmarkStart w:id="31" w:name="条文描述_展览建筑"/>
      <w:r>
        <w:rPr>
          <w:rFonts w:ascii="微软雅黑" w:hAnsi="微软雅黑"/>
          <w:sz w:val="21"/>
          <w:szCs w:val="21"/>
        </w:rPr>
        <w:t>4.0.</w:t>
      </w:r>
      <w:r>
        <w:rPr>
          <w:rFonts w:hint="eastAsia" w:ascii="微软雅黑" w:hAnsi="微软雅黑"/>
          <w:sz w:val="21"/>
          <w:szCs w:val="21"/>
        </w:rPr>
        <w:t>12</w:t>
      </w:r>
      <w:r>
        <w:rPr>
          <w:rFonts w:ascii="微软雅黑" w:hAnsi="微软雅黑"/>
          <w:sz w:val="21"/>
          <w:szCs w:val="21"/>
        </w:rPr>
        <w:t xml:space="preserve"> </w:t>
      </w:r>
      <w:r>
        <w:rPr>
          <w:rFonts w:hint="eastAsia" w:ascii="微软雅黑" w:hAnsi="微软雅黑"/>
          <w:sz w:val="21"/>
          <w:szCs w:val="21"/>
        </w:rPr>
        <w:t>展览建筑的采光标准值不应低于表4.0.12的规定。</w:t>
      </w:r>
    </w:p>
    <w:p>
      <w:pPr>
        <w:pStyle w:val="39"/>
        <w:numPr>
          <w:ilvl w:val="0"/>
          <w:numId w:val="3"/>
        </w:numPr>
        <w:tabs>
          <w:tab w:val="clear" w:pos="902"/>
        </w:tabs>
        <w:ind w:firstLineChars="0"/>
        <w:rPr>
          <w:szCs w:val="21"/>
        </w:rPr>
      </w:pPr>
      <w:r>
        <w:rPr>
          <w:rFonts w:hint="eastAsia"/>
          <w:szCs w:val="21"/>
        </w:rPr>
        <w:t>表</w:t>
      </w:r>
      <w:r>
        <w:rPr>
          <w:szCs w:val="21"/>
        </w:rPr>
        <w:t>4.0.</w:t>
      </w:r>
      <w:r>
        <w:rPr>
          <w:rFonts w:hint="eastAsia"/>
          <w:szCs w:val="21"/>
        </w:rPr>
        <w:t>12</w:t>
      </w:r>
      <w:r>
        <w:rPr>
          <w:szCs w:val="21"/>
        </w:rPr>
        <w:t xml:space="preserve">  </w:t>
      </w:r>
      <w:r>
        <w:rPr>
          <w:rFonts w:hint="eastAsia"/>
          <w:szCs w:val="21"/>
        </w:rPr>
        <w:t>展览建筑的采光标准值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2448"/>
        <w:gridCol w:w="1332"/>
        <w:gridCol w:w="1333"/>
        <w:gridCol w:w="1332"/>
        <w:gridCol w:w="13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56" w:type="dxa"/>
            <w:vMerge w:val="restart"/>
            <w:tcBorders>
              <w:top w:val="single" w:color="auto" w:sz="12" w:space="0"/>
              <w:left w:val="single" w:color="auto" w:sz="12" w:space="0"/>
              <w:bottom w:val="single" w:color="auto" w:sz="4" w:space="0"/>
              <w:right w:val="single" w:color="auto" w:sz="4" w:space="0"/>
            </w:tcBorders>
            <w:vAlign w:val="center"/>
          </w:tcPr>
          <w:p>
            <w:pPr>
              <w:widowControl w:val="0"/>
              <w:rPr>
                <w:szCs w:val="21"/>
              </w:rPr>
            </w:pPr>
            <w:r>
              <w:rPr>
                <w:rFonts w:hint="eastAsia"/>
                <w:szCs w:val="21"/>
              </w:rPr>
              <w:t>采光等级</w:t>
            </w:r>
          </w:p>
        </w:tc>
        <w:tc>
          <w:tcPr>
            <w:tcW w:w="2448" w:type="dxa"/>
            <w:vMerge w:val="restart"/>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场所名称</w:t>
            </w:r>
          </w:p>
        </w:tc>
        <w:tc>
          <w:tcPr>
            <w:tcW w:w="2665" w:type="dxa"/>
            <w:gridSpan w:val="2"/>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侧面采光</w:t>
            </w:r>
          </w:p>
        </w:tc>
        <w:tc>
          <w:tcPr>
            <w:tcW w:w="2665" w:type="dxa"/>
            <w:gridSpan w:val="2"/>
            <w:tcBorders>
              <w:top w:val="single" w:color="auto" w:sz="12" w:space="0"/>
              <w:left w:val="single" w:color="auto" w:sz="4" w:space="0"/>
              <w:bottom w:val="single" w:color="auto" w:sz="4" w:space="0"/>
              <w:right w:val="single" w:color="auto" w:sz="12" w:space="0"/>
            </w:tcBorders>
          </w:tcPr>
          <w:p>
            <w:pPr>
              <w:widowControl w:val="0"/>
              <w:rPr>
                <w:szCs w:val="21"/>
              </w:rPr>
            </w:pPr>
            <w:r>
              <w:rPr>
                <w:rFonts w:hint="eastAsia"/>
                <w:szCs w:val="21"/>
              </w:rPr>
              <w:t>顶部采光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56" w:type="dxa"/>
            <w:vMerge w:val="continue"/>
            <w:tcBorders>
              <w:top w:val="single" w:color="auto" w:sz="12" w:space="0"/>
              <w:left w:val="single" w:color="auto" w:sz="12" w:space="0"/>
              <w:bottom w:val="single" w:color="auto" w:sz="4" w:space="0"/>
              <w:right w:val="single" w:color="auto" w:sz="4" w:space="0"/>
            </w:tcBorders>
            <w:vAlign w:val="center"/>
          </w:tcPr>
          <w:p>
            <w:pPr>
              <w:widowControl w:val="0"/>
              <w:rPr>
                <w:szCs w:val="21"/>
              </w:rPr>
            </w:pPr>
          </w:p>
        </w:tc>
        <w:tc>
          <w:tcPr>
            <w:tcW w:w="2448" w:type="dxa"/>
            <w:vMerge w:val="continue"/>
            <w:tcBorders>
              <w:top w:val="single" w:color="auto" w:sz="12" w:space="0"/>
              <w:left w:val="single" w:color="auto" w:sz="4" w:space="0"/>
              <w:bottom w:val="single" w:color="auto" w:sz="4" w:space="0"/>
              <w:right w:val="single" w:color="auto" w:sz="4" w:space="0"/>
            </w:tcBorders>
            <w:vAlign w:val="center"/>
          </w:tcPr>
          <w:p>
            <w:pPr>
              <w:widowControl w:val="0"/>
              <w:rPr>
                <w:szCs w:val="21"/>
              </w:rPr>
            </w:pPr>
          </w:p>
        </w:tc>
        <w:tc>
          <w:tcPr>
            <w:tcW w:w="133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w:t>
            </w:r>
          </w:p>
          <w:p>
            <w:pPr>
              <w:widowControl w:val="0"/>
              <w:rPr>
                <w:szCs w:val="21"/>
              </w:rPr>
            </w:pPr>
            <w:r>
              <w:rPr>
                <w:rFonts w:hint="eastAsia"/>
                <w:szCs w:val="21"/>
              </w:rPr>
              <w:t>标准值</w:t>
            </w:r>
          </w:p>
          <w:p>
            <w:pPr>
              <w:widowControl w:val="0"/>
              <w:rPr>
                <w:szCs w:val="21"/>
              </w:rPr>
            </w:pPr>
            <w:r>
              <w:rPr>
                <w:rFonts w:hint="eastAsia"/>
                <w:szCs w:val="21"/>
              </w:rPr>
              <w:t>（%）</w:t>
            </w:r>
          </w:p>
        </w:tc>
        <w:tc>
          <w:tcPr>
            <w:tcW w:w="1333"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室内天然光照度标准值（lx）</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w:t>
            </w:r>
          </w:p>
          <w:p>
            <w:pPr>
              <w:widowControl w:val="0"/>
              <w:rPr>
                <w:szCs w:val="21"/>
              </w:rPr>
            </w:pPr>
            <w:r>
              <w:rPr>
                <w:rFonts w:hint="eastAsia"/>
                <w:szCs w:val="21"/>
              </w:rPr>
              <w:t>标准值</w:t>
            </w:r>
          </w:p>
          <w:p>
            <w:pPr>
              <w:widowControl w:val="0"/>
              <w:rPr>
                <w:szCs w:val="21"/>
              </w:rPr>
            </w:pPr>
            <w:r>
              <w:rPr>
                <w:rFonts w:hint="eastAsia"/>
                <w:szCs w:val="21"/>
              </w:rPr>
              <w:t>（%）</w:t>
            </w:r>
          </w:p>
        </w:tc>
        <w:tc>
          <w:tcPr>
            <w:tcW w:w="1333"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室内天然光照度标准值（lx）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3" w:hRule="exact"/>
          <w:jc w:val="center"/>
        </w:trPr>
        <w:tc>
          <w:tcPr>
            <w:tcW w:w="656"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Ⅲ</w:t>
            </w:r>
          </w:p>
        </w:tc>
        <w:tc>
          <w:tcPr>
            <w:tcW w:w="2448"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展厅（单层及顶层）</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w:t>
            </w:r>
          </w:p>
        </w:tc>
        <w:tc>
          <w:tcPr>
            <w:tcW w:w="1333"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450</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333"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656"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Ⅳ</w:t>
            </w:r>
          </w:p>
        </w:tc>
        <w:tc>
          <w:tcPr>
            <w:tcW w:w="2448"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登录厅、连接通道</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333"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300</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1.0</w:t>
            </w:r>
          </w:p>
        </w:tc>
        <w:tc>
          <w:tcPr>
            <w:tcW w:w="1333"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656" w:type="dxa"/>
            <w:tcBorders>
              <w:top w:val="single" w:color="auto" w:sz="4" w:space="0"/>
              <w:left w:val="single" w:color="auto" w:sz="12" w:space="0"/>
              <w:bottom w:val="single" w:color="auto" w:sz="12" w:space="0"/>
              <w:right w:val="single" w:color="auto" w:sz="4" w:space="0"/>
            </w:tcBorders>
            <w:vAlign w:val="center"/>
          </w:tcPr>
          <w:p>
            <w:pPr>
              <w:widowControl w:val="0"/>
              <w:rPr>
                <w:szCs w:val="21"/>
              </w:rPr>
            </w:pPr>
            <w:r>
              <w:rPr>
                <w:rFonts w:hint="eastAsia"/>
                <w:szCs w:val="21"/>
              </w:rPr>
              <w:t>Ⅴ</w:t>
            </w:r>
          </w:p>
        </w:tc>
        <w:tc>
          <w:tcPr>
            <w:tcW w:w="2448"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库房、楼梯间、卫生间</w:t>
            </w:r>
          </w:p>
        </w:tc>
        <w:tc>
          <w:tcPr>
            <w:tcW w:w="1332"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1.0</w:t>
            </w:r>
          </w:p>
        </w:tc>
        <w:tc>
          <w:tcPr>
            <w:tcW w:w="1333"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150</w:t>
            </w:r>
          </w:p>
        </w:tc>
        <w:tc>
          <w:tcPr>
            <w:tcW w:w="1332"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0.5</w:t>
            </w:r>
          </w:p>
        </w:tc>
        <w:tc>
          <w:tcPr>
            <w:tcW w:w="1333" w:type="dxa"/>
            <w:tcBorders>
              <w:top w:val="single" w:color="auto" w:sz="4" w:space="0"/>
              <w:left w:val="single" w:color="auto" w:sz="4" w:space="0"/>
              <w:bottom w:val="single" w:color="auto" w:sz="12" w:space="0"/>
              <w:right w:val="single" w:color="auto" w:sz="12" w:space="0"/>
            </w:tcBorders>
            <w:vAlign w:val="center"/>
          </w:tcPr>
          <w:p>
            <w:pPr>
              <w:widowControl w:val="0"/>
              <w:rPr>
                <w:szCs w:val="21"/>
              </w:rPr>
            </w:pPr>
            <w:r>
              <w:rPr>
                <w:rFonts w:hint="eastAsia"/>
                <w:szCs w:val="21"/>
              </w:rPr>
              <w:t>75</w:t>
            </w:r>
          </w:p>
        </w:tc>
      </w:tr>
      <w:bookmarkEnd w:id="31"/>
    </w:tbl>
    <w:p>
      <w:pPr>
        <w:pStyle w:val="39"/>
        <w:ind w:left="840" w:firstLine="0" w:firstLineChars="0"/>
        <w:rPr>
          <w:sz w:val="24"/>
          <w:lang w:val="en-US"/>
        </w:rPr>
      </w:pPr>
      <w:bookmarkStart w:id="32" w:name="_Toc312399791"/>
      <w:bookmarkStart w:id="33" w:name="_Toc275165382"/>
      <w:bookmarkStart w:id="34" w:name="_Toc512608180"/>
      <w:bookmarkStart w:id="35" w:name="_Toc290149054"/>
      <w:bookmarkStart w:id="36" w:name="_Toc264043625"/>
      <w:bookmarkStart w:id="37" w:name="_Toc264569232"/>
      <w:bookmarkStart w:id="38" w:name="_Toc290209312"/>
      <w:bookmarkStart w:id="39" w:name="_Toc290209336"/>
    </w:p>
    <w:p>
      <w:pPr>
        <w:pStyle w:val="39"/>
        <w:numPr>
          <w:ilvl w:val="0"/>
          <w:numId w:val="4"/>
        </w:numPr>
        <w:ind w:firstLineChars="0"/>
        <w:jc w:val="left"/>
        <w:rPr>
          <w:sz w:val="32"/>
          <w:lang w:val="en-US"/>
        </w:rPr>
      </w:pPr>
      <w:r>
        <w:rPr>
          <w:rFonts w:hint="eastAsia"/>
          <w:b/>
          <w:sz w:val="21"/>
          <w:szCs w:val="21"/>
          <w:lang w:val="en-US"/>
        </w:rPr>
        <w:t>《绿色建筑评价标准技术细则2019》相关内容</w:t>
      </w:r>
    </w:p>
    <w:p>
      <w:pPr>
        <w:pStyle w:val="3"/>
        <w:ind w:left="360" w:leftChars="200"/>
      </w:pPr>
      <w:r>
        <w:rPr>
          <w:rFonts w:hint="eastAsia"/>
        </w:rPr>
        <w:t>《绿色建筑评价标准技术细则2019》指出：</w:t>
      </w:r>
    </w:p>
    <w:p>
      <w:pPr>
        <w:pStyle w:val="3"/>
        <w:ind w:left="360" w:leftChars="200"/>
      </w:pPr>
      <w:r>
        <w:t>1.</w:t>
      </w:r>
      <w:r>
        <w:rPr>
          <w:rFonts w:hint="eastAsia"/>
        </w:rPr>
        <w:t>公共建筑主要功能房间采用全年中建筑空间各位置</w:t>
      </w:r>
      <w:r>
        <w:rPr>
          <w:rFonts w:hint="eastAsia"/>
          <w:b/>
        </w:rPr>
        <w:t>满足采光照度的时长</w:t>
      </w:r>
      <w:r>
        <w:rPr>
          <w:rFonts w:hint="eastAsia"/>
        </w:rPr>
        <w:t>进行采光效果评价；</w:t>
      </w:r>
    </w:p>
    <w:p>
      <w:pPr>
        <w:pStyle w:val="3"/>
        <w:ind w:left="360" w:leftChars="200"/>
      </w:pPr>
      <w:r>
        <w:t>2</w:t>
      </w:r>
      <w:r>
        <w:rPr>
          <w:rFonts w:hint="eastAsia"/>
        </w:rPr>
        <w:t>.满足要求的采光照度值为</w:t>
      </w:r>
      <w:r>
        <w:rPr>
          <w:rFonts w:hint="eastAsia"/>
          <w:b/>
        </w:rPr>
        <w:t>平均值</w:t>
      </w:r>
      <w:r>
        <w:rPr>
          <w:rFonts w:hint="eastAsia"/>
        </w:rPr>
        <w:t>，即照度平均值需超过《建筑采光设计标准》G</w:t>
      </w:r>
      <w:r>
        <w:t>B50033</w:t>
      </w:r>
      <w:r>
        <w:rPr>
          <w:rFonts w:hint="eastAsia"/>
        </w:rPr>
        <w:t>中室内照度标准值。</w:t>
      </w:r>
    </w:p>
    <w:p>
      <w:pPr>
        <w:pStyle w:val="3"/>
        <w:ind w:left="360" w:leftChars="200"/>
      </w:pPr>
      <w:r>
        <w:rPr>
          <w:rFonts w:hint="eastAsia"/>
        </w:rPr>
        <w:t>3</w:t>
      </w:r>
      <w:r>
        <w:t>.</w:t>
      </w:r>
      <w:r>
        <w:rPr>
          <w:rFonts w:hint="eastAsia"/>
        </w:rPr>
        <w:t>公共建筑主要功能空间为《建筑采光设计标准》G</w:t>
      </w:r>
      <w:r>
        <w:t>B50033</w:t>
      </w:r>
      <w:r>
        <w:rPr>
          <w:rFonts w:hint="eastAsia"/>
        </w:rPr>
        <w:t>中</w:t>
      </w:r>
      <w:r>
        <w:rPr>
          <w:rFonts w:hint="eastAsia"/>
          <w:kern w:val="2"/>
        </w:rPr>
        <w:t>Ⅱ~</w:t>
      </w:r>
      <w:r>
        <w:rPr>
          <w:rFonts w:hint="eastAsia"/>
        </w:rPr>
        <w:t>Ⅳ级有采光标准值要求的场所。</w:t>
      </w:r>
    </w:p>
    <w:p>
      <w:pPr>
        <w:pStyle w:val="2"/>
        <w:ind w:left="432" w:hanging="432"/>
      </w:pPr>
      <w:bookmarkStart w:id="40" w:name="_Toc16987"/>
      <w:r>
        <w:rPr>
          <w:rFonts w:hint="eastAsia"/>
        </w:rPr>
        <w:t>采光分析</w:t>
      </w:r>
      <w:r>
        <w:t>概述</w:t>
      </w:r>
      <w:bookmarkEnd w:id="32"/>
      <w:bookmarkEnd w:id="33"/>
      <w:bookmarkEnd w:id="34"/>
      <w:bookmarkEnd w:id="35"/>
      <w:bookmarkEnd w:id="36"/>
      <w:bookmarkEnd w:id="37"/>
      <w:bookmarkEnd w:id="38"/>
      <w:bookmarkEnd w:id="39"/>
      <w:bookmarkEnd w:id="40"/>
    </w:p>
    <w:p>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3"/>
        <w:ind w:firstLine="420" w:firstLineChars="200"/>
      </w:pPr>
      <w:r>
        <w:rPr>
          <w:rFonts w:hint="eastAsia"/>
        </w:rPr>
        <w:t>基于天然</w:t>
      </w:r>
      <w:r>
        <w:t>光</w:t>
      </w:r>
      <w:r>
        <w:rPr>
          <w:rFonts w:hint="eastAsia"/>
        </w:rPr>
        <w:t>气候数据的建筑</w:t>
      </w:r>
      <w:r>
        <w:t>采光</w:t>
      </w:r>
      <w:r>
        <w:rPr>
          <w:rFonts w:hint="eastAsia"/>
        </w:rPr>
        <w:t>全年</w:t>
      </w:r>
      <w:r>
        <w:t>动态分析</w:t>
      </w:r>
      <w:r>
        <w:rPr>
          <w:rFonts w:hint="eastAsia"/>
        </w:rPr>
        <w:t>，考虑了天空类型多样化、建筑朝向、地理位置以及遮阳、采光辅助系统的应用，能更真实全面的反映室内天然采光状况。为了更加真实地反映天然光利用的效果，采用基于天然光气候数据的建筑采光全年动态分析的方法对其进行评价。</w:t>
      </w:r>
    </w:p>
    <w:p>
      <w:pPr>
        <w:pStyle w:val="4"/>
        <w:tabs>
          <w:tab w:val="left" w:pos="862"/>
          <w:tab w:val="clear" w:pos="578"/>
        </w:tabs>
        <w:ind w:left="862"/>
      </w:pPr>
      <w:bookmarkStart w:id="41" w:name="_Toc512608181"/>
      <w:bookmarkStart w:id="42" w:name="_Toc15075"/>
      <w:r>
        <w:rPr>
          <w:rFonts w:hint="eastAsia"/>
        </w:rPr>
        <w:t>基本原理</w:t>
      </w:r>
      <w:bookmarkEnd w:id="41"/>
      <w:bookmarkEnd w:id="42"/>
    </w:p>
    <w:p>
      <w:pPr>
        <w:pStyle w:val="14"/>
        <w:numPr>
          <w:ilvl w:val="0"/>
          <w:numId w:val="5"/>
        </w:numPr>
        <w:spacing w:line="360" w:lineRule="auto"/>
        <w:ind w:firstLineChars="0"/>
        <w:rPr>
          <w:b/>
          <w:sz w:val="21"/>
          <w:szCs w:val="21"/>
        </w:rPr>
      </w:pPr>
      <w:r>
        <w:rPr>
          <w:rFonts w:hint="eastAsia"/>
          <w:b/>
          <w:sz w:val="21"/>
          <w:szCs w:val="21"/>
        </w:rPr>
        <w:t>动态采光</w:t>
      </w:r>
    </w:p>
    <w:p>
      <w:pPr>
        <w:pStyle w:val="3"/>
        <w:ind w:firstLine="420" w:firstLineChars="200"/>
      </w:pPr>
      <w:r>
        <w:rPr>
          <w:rFonts w:hint="eastAsia"/>
        </w:rPr>
        <w:t>目前</w:t>
      </w:r>
      <w:r>
        <w:t>大部分</w:t>
      </w:r>
      <w:r>
        <w:rPr>
          <w:rFonts w:hint="eastAsia"/>
        </w:rPr>
        <w:t>采光</w:t>
      </w:r>
      <w:r>
        <w:t>评价指标</w:t>
      </w:r>
      <w:r>
        <w:rPr>
          <w:rFonts w:hint="eastAsia"/>
        </w:rPr>
        <w:t>都是以采光系数（</w:t>
      </w:r>
      <w:r>
        <w:t>Daylight Factors</w:t>
      </w:r>
      <w:r>
        <w:rPr>
          <w:rFonts w:hint="eastAsia"/>
        </w:rPr>
        <w:t xml:space="preserve">）作为标准，采光系数以其简单易用的特点得到了广泛的使用，总体而言，采光系数的局限性表现在以下方面：太阳光与非全阴天的天空光、未考虑建筑与房间的朝向、未考虑采光系数随天空状况改变的变化性、只考虑了水平照度、季节与时间因素、无法预测建筑各朝向的遮阳措施、无法预测眩光问题。 </w:t>
      </w:r>
      <w:r>
        <w:t xml:space="preserve"> </w:t>
      </w:r>
    </w:p>
    <w:p>
      <w:pPr>
        <w:pStyle w:val="3"/>
        <w:ind w:firstLine="420" w:firstLineChars="200"/>
      </w:pPr>
      <w:r>
        <w:rPr>
          <w:rFonts w:hint="eastAsia"/>
        </w:rPr>
        <w:t>随着时间的推移，近年来国际上发展起来一些新的天然采光评价标准，其中空间日照自足指数</w:t>
      </w:r>
      <w:r>
        <w:t>Spatial Daylight Autonomy（sDA</w:t>
      </w:r>
      <w:r>
        <w:rPr>
          <w:rFonts w:hint="eastAsia"/>
        </w:rPr>
        <w:t>）、年阳光照射度</w:t>
      </w:r>
      <w:r>
        <w:t>Annual Light Exposure（</w:t>
      </w:r>
      <w:r>
        <w:rPr>
          <w:rFonts w:hint="eastAsia"/>
        </w:rPr>
        <w:t>ASE</w:t>
      </w:r>
      <w:r>
        <w:t>）</w:t>
      </w:r>
      <w:r>
        <w:rPr>
          <w:rFonts w:hint="eastAsia"/>
        </w:rPr>
        <w:t>等动态采光指标得到广泛应用。</w:t>
      </w:r>
    </w:p>
    <w:p>
      <w:pPr>
        <w:pStyle w:val="3"/>
        <w:ind w:firstLine="420" w:firstLineChars="200"/>
      </w:pPr>
      <w:r>
        <w:rPr>
          <w:rFonts w:hint="eastAsia"/>
        </w:rPr>
        <w:t>动态采光评价指标是基于建筑内部连续时间段内照度值和亮度值。这些连续时间序列包含一整年，以建筑室外年度太阳辐射照度数据为基础。动态采光评价指标与传统的静态评价指标的先进之处在于将建筑周围随着天气状况发生变化的天然光的不同时节、不同日期的变化与特征进行考虑。</w:t>
      </w:r>
    </w:p>
    <w:p>
      <w:pPr>
        <w:pStyle w:val="3"/>
      </w:pPr>
      <w:bookmarkStart w:id="43" w:name="_Toc290209317"/>
      <w:bookmarkStart w:id="44" w:name="_Toc290209341"/>
      <w:bookmarkStart w:id="45" w:name="_Toc290149059"/>
      <w:bookmarkStart w:id="46" w:name="_Toc264569237"/>
      <w:bookmarkStart w:id="47" w:name="_Toc275165387"/>
      <w:bookmarkStart w:id="48" w:name="_Toc312399796"/>
      <w:bookmarkStart w:id="49" w:name="_Toc264043630"/>
      <w:r>
        <w:rPr>
          <w:rFonts w:hint="eastAsia"/>
        </w:rPr>
        <w:t>相对于采光系数来说，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bookmarkEnd w:id="43"/>
    <w:bookmarkEnd w:id="44"/>
    <w:bookmarkEnd w:id="45"/>
    <w:bookmarkEnd w:id="46"/>
    <w:bookmarkEnd w:id="47"/>
    <w:bookmarkEnd w:id="48"/>
    <w:bookmarkEnd w:id="49"/>
    <w:p>
      <w:pPr>
        <w:pStyle w:val="4"/>
        <w:tabs>
          <w:tab w:val="left" w:pos="862"/>
          <w:tab w:val="clear" w:pos="578"/>
        </w:tabs>
        <w:ind w:left="862"/>
      </w:pPr>
      <w:bookmarkStart w:id="50" w:name="_Toc31103"/>
      <w:r>
        <w:rPr>
          <w:rFonts w:hint="eastAsia"/>
        </w:rPr>
        <w:t>计算方法</w:t>
      </w:r>
      <w:bookmarkEnd w:id="50"/>
    </w:p>
    <w:p>
      <w:pPr>
        <w:pStyle w:val="3"/>
        <w:ind w:left="360" w:leftChars="200" w:firstLine="420" w:firstLineChars="200"/>
        <w:rPr>
          <w:kern w:val="2"/>
          <w:lang w:val="en-US"/>
        </w:rPr>
      </w:pPr>
      <w:r>
        <w:rPr>
          <w:rFonts w:hint="eastAsia"/>
        </w:rPr>
        <w:t>对动态采光指标进行解读可知，只有同时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《绿色建筑评价标准技术细则2019》中也明确动态采光计算参数、计算条件细节：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公共建筑主要功能房间采用全年中建筑空间各位置满足采光照度的时长进行采光效果评价；采光照度要求值为平均值，即照度平均值需超过《建筑采光设计标准》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p>
    <w:p>
      <w:pPr>
        <w:pStyle w:val="4"/>
        <w:tabs>
          <w:tab w:val="left" w:pos="862"/>
          <w:tab w:val="clear" w:pos="578"/>
        </w:tabs>
        <w:ind w:left="862"/>
      </w:pPr>
      <w:bookmarkStart w:id="51" w:name="_Toc27456"/>
      <w:r>
        <w:t>软件</w:t>
      </w:r>
      <w:r>
        <w:rPr>
          <w:rFonts w:hint="eastAsia"/>
        </w:rPr>
        <w:t>选用</w:t>
      </w:r>
      <w:bookmarkEnd w:id="51"/>
    </w:p>
    <w:p>
      <w:pPr>
        <w:pStyle w:val="3"/>
        <w:ind w:firstLine="420" w:firstLineChars="200"/>
      </w:pPr>
      <w:r>
        <w:t>《</w:t>
      </w:r>
      <w:r>
        <w:rPr>
          <w:rFonts w:hint="eastAsia"/>
        </w:rPr>
        <w:t>绿色</w:t>
      </w:r>
      <w:r>
        <w:t>建筑评价标准》</w:t>
      </w:r>
      <w:r>
        <w:rPr>
          <w:rFonts w:hint="eastAsia"/>
        </w:rPr>
        <w:t>GB/</w:t>
      </w:r>
      <w:r>
        <w:t>T 50378</w:t>
      </w:r>
      <w:r>
        <w:rPr>
          <w:rFonts w:hint="eastAsia"/>
        </w:rPr>
        <w:t>-</w:t>
      </w:r>
      <w:r>
        <w:t>2019</w:t>
      </w:r>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采光模拟，最后将计算结果返回到Dali进行处理分析。</w:t>
      </w:r>
    </w:p>
    <w:p>
      <w:pPr>
        <w:pStyle w:val="3"/>
        <w:ind w:firstLine="420" w:firstLineChars="200"/>
      </w:pPr>
      <w:r>
        <w:t>Dali</w:t>
      </w:r>
      <w:r>
        <w:rPr>
          <w:rFonts w:hint="eastAsia"/>
        </w:rPr>
        <w:t>率先在国内采光软件中支持动态采光指标计算，</w:t>
      </w:r>
      <w:r>
        <w:t>是国内首款与国标《建筑采光设计标准》GB50033配套的软件，支持《绿色建筑评价标准》GB/T50378的采光指标要求。</w:t>
      </w:r>
      <w:r>
        <w:rPr>
          <w:rFonts w:hint="eastAsia"/>
        </w:rPr>
        <w:t>软件基于D</w:t>
      </w:r>
      <w:r>
        <w:t>aysim</w:t>
      </w:r>
      <w:r>
        <w:rPr>
          <w:rFonts w:hint="eastAsia"/>
        </w:rPr>
        <w:t>内核使用当地气象文件，支持多核并行计算，对多个房间进行批处理计算，多区域统计并对标打分并输出彩图分析结果。D</w:t>
      </w:r>
      <w:r>
        <w:t>aysim</w:t>
      </w:r>
      <w:r>
        <w:rPr>
          <w:rFonts w:hint="eastAsia"/>
        </w:rPr>
        <w:t>是一款以的蒙特卡罗反向光线跟踪算法为基础的天然采光分析工具，由加拿大国家研究委员会（National Research Council Canada）和德国弗劳恩霍夫太阳能系统研究所（Fraunhofer Institute for Solar Energy Systems）共同开发，能够综合计算全年各种天空条件下直射光、漫射光及地面反射光对室内采光的影响，精确计算全年不同时刻室外天然光对室内采光的影响。</w:t>
      </w:r>
    </w:p>
    <w:p>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pPr>
        <w:pStyle w:val="2"/>
        <w:ind w:left="432" w:hanging="432"/>
      </w:pPr>
      <w:bookmarkStart w:id="52" w:name="_Toc512608187"/>
      <w:bookmarkStart w:id="53" w:name="_Toc23215"/>
      <w:r>
        <w:rPr>
          <w:rFonts w:hint="eastAsia"/>
        </w:rPr>
        <w:t>采光计算</w:t>
      </w:r>
      <w:r>
        <w:t>参数</w:t>
      </w:r>
      <w:r>
        <w:rPr>
          <w:rFonts w:hint="eastAsia"/>
        </w:rPr>
        <w:t>取值</w:t>
      </w:r>
      <w:bookmarkEnd w:id="52"/>
      <w:bookmarkEnd w:id="53"/>
    </w:p>
    <w:p>
      <w:pPr>
        <w:pStyle w:val="4"/>
      </w:pPr>
      <w:bookmarkStart w:id="54" w:name="_Toc264569236"/>
      <w:bookmarkStart w:id="55" w:name="_Toc264043629"/>
      <w:bookmarkStart w:id="56" w:name="_Toc275165386"/>
      <w:bookmarkStart w:id="57" w:name="_Toc290149058"/>
      <w:bookmarkStart w:id="58" w:name="_Toc290209316"/>
      <w:bookmarkStart w:id="59" w:name="_Toc290209340"/>
      <w:bookmarkStart w:id="60" w:name="_Toc312399795"/>
      <w:bookmarkStart w:id="61" w:name="_Toc512608188"/>
      <w:bookmarkStart w:id="62" w:name="_Toc5629"/>
      <w:r>
        <w:t>模拟</w:t>
      </w:r>
      <w:bookmarkEnd w:id="54"/>
      <w:bookmarkEnd w:id="55"/>
      <w:bookmarkEnd w:id="56"/>
      <w:bookmarkEnd w:id="57"/>
      <w:bookmarkEnd w:id="58"/>
      <w:bookmarkEnd w:id="59"/>
      <w:bookmarkEnd w:id="60"/>
      <w:r>
        <w:rPr>
          <w:rFonts w:hint="eastAsia"/>
        </w:rPr>
        <w:t>分析条件说明</w:t>
      </w:r>
      <w:bookmarkEnd w:id="61"/>
      <w:bookmarkEnd w:id="62"/>
    </w:p>
    <w:p>
      <w:pPr>
        <w:pStyle w:val="3"/>
        <w:rPr>
          <w:rFonts w:ascii="宋体" w:hAnsi="宋体"/>
          <w:b/>
          <w:lang w:val="en-US"/>
        </w:rPr>
      </w:pPr>
      <w:r>
        <w:rPr>
          <w:rFonts w:hint="eastAsia" w:ascii="宋体" w:hAnsi="宋体"/>
          <w:b/>
          <w:lang w:val="en-US"/>
        </w:rPr>
        <w:t>光气候数据来源：</w:t>
      </w:r>
      <w:bookmarkStart w:id="63" w:name="气象数据"/>
      <w:r>
        <w:rPr>
          <w:rFonts w:hint="eastAsia"/>
          <w:lang w:val="en-US"/>
        </w:rPr>
        <w:t>《中国建筑热环境分析专用气象数据集》</w:t>
      </w:r>
      <w:bookmarkEnd w:id="63"/>
    </w:p>
    <w:p>
      <w:pPr>
        <w:pStyle w:val="3"/>
      </w:pPr>
      <w:r>
        <w:rPr>
          <w:rFonts w:hint="eastAsia"/>
          <w:b/>
        </w:rPr>
        <w:t>计算</w:t>
      </w:r>
      <w:r>
        <w:rPr>
          <w:b/>
        </w:rPr>
        <w:t>光线反射次数</w:t>
      </w:r>
      <w:r>
        <w:t>：</w:t>
      </w:r>
      <w:bookmarkStart w:id="64" w:name="光线反射次数"/>
      <w:r>
        <w:rPr>
          <w:rFonts w:hint="eastAsia"/>
        </w:rPr>
        <w:t>3</w:t>
      </w:r>
      <w:bookmarkEnd w:id="64"/>
      <w:r>
        <w:rPr>
          <w:rFonts w:hint="eastAsia"/>
        </w:rPr>
        <w:t>次；</w:t>
      </w:r>
    </w:p>
    <w:p>
      <w:pPr>
        <w:pStyle w:val="3"/>
      </w:pPr>
      <w:r>
        <w:rPr>
          <w:rFonts w:hint="eastAsia"/>
          <w:b/>
        </w:rPr>
        <w:t>分析参考平面</w:t>
      </w:r>
      <w:r>
        <w:rPr>
          <w:rFonts w:hint="eastAsia"/>
        </w:rPr>
        <w:t>：功能房间取距地面</w:t>
      </w:r>
      <w:bookmarkStart w:id="65" w:name="分析面高"/>
      <w:r>
        <w:rPr>
          <w:rFonts w:hint="eastAsia"/>
        </w:rPr>
        <w:t>0.75</w:t>
      </w:r>
      <w:bookmarkEnd w:id="65"/>
      <w:r>
        <w:rPr>
          <w:rFonts w:hint="eastAsia"/>
        </w:rPr>
        <w:t>米；</w:t>
      </w:r>
    </w:p>
    <w:p>
      <w:pPr>
        <w:pStyle w:val="3"/>
      </w:pPr>
      <w:bookmarkStart w:id="66" w:name="_Toc512608189"/>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r>
              <w:rPr>
                <w:rFonts w:hint="eastAsia"/>
              </w:rPr>
              <w:t>房间面积(m</w:t>
            </w:r>
            <w:r>
              <w:rPr>
                <w:rFonts w:hint="eastAsia"/>
                <w:vertAlign w:val="superscript"/>
              </w:rPr>
              <w:t>2</w:t>
            </w:r>
            <w:r>
              <w:rPr>
                <w:rFonts w:hint="eastAsia"/>
              </w:rPr>
              <w:t>)</w:t>
            </w:r>
          </w:p>
        </w:tc>
        <w:tc>
          <w:tcPr>
            <w:tcW w:w="3272" w:type="dxa"/>
            <w:shd w:val="clear" w:color="auto" w:fill="E6E6E6"/>
            <w:vAlign w:val="center"/>
          </w:tcPr>
          <w:p>
            <w:r>
              <w:rPr>
                <w:rFonts w:hint="eastAsia"/>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r>
              <w:rPr>
                <w:rFonts w:hint="eastAsia"/>
              </w:rPr>
              <w:t>≤</w:t>
            </w:r>
            <w:bookmarkStart w:id="67" w:name="网格划分小房间面积"/>
            <w:r>
              <w:rPr>
                <w:rFonts w:hint="eastAsia"/>
              </w:rPr>
              <w:t>10</w:t>
            </w:r>
            <w:bookmarkEnd w:id="67"/>
          </w:p>
        </w:tc>
        <w:tc>
          <w:tcPr>
            <w:tcW w:w="3272" w:type="dxa"/>
            <w:shd w:val="clear" w:color="auto" w:fill="auto"/>
            <w:vAlign w:val="center"/>
          </w:tcPr>
          <w:p>
            <w:bookmarkStart w:id="68" w:name="小房间网格大小"/>
            <w:r>
              <w:rPr>
                <w:rFonts w:hint="eastAsia"/>
              </w:rPr>
              <w:t>0.25</w:t>
            </w:r>
            <w:bookmarkEnd w:id="6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bookmarkStart w:id="69" w:name="网格划分房间面积"/>
            <w:r>
              <w:rPr>
                <w:rFonts w:hint="eastAsia"/>
              </w:rPr>
              <w:t>10~100</w:t>
            </w:r>
            <w:bookmarkEnd w:id="69"/>
          </w:p>
        </w:tc>
        <w:tc>
          <w:tcPr>
            <w:tcW w:w="3272" w:type="dxa"/>
            <w:shd w:val="clear" w:color="auto" w:fill="auto"/>
            <w:vAlign w:val="center"/>
          </w:tcPr>
          <w:p>
            <w:bookmarkStart w:id="70" w:name="网格大小"/>
            <w:r>
              <w:rPr>
                <w:rFonts w:hint="eastAsia"/>
              </w:rPr>
              <w:t>0.50</w:t>
            </w:r>
            <w:bookmarkEnd w:id="7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r>
              <w:rPr>
                <w:rFonts w:hint="eastAsia"/>
              </w:rPr>
              <w:t>≥</w:t>
            </w:r>
            <w:bookmarkStart w:id="71" w:name="网格划分大房间面积"/>
            <w:r>
              <w:rPr>
                <w:rFonts w:hint="eastAsia"/>
              </w:rPr>
              <w:t>100</w:t>
            </w:r>
            <w:bookmarkEnd w:id="71"/>
          </w:p>
        </w:tc>
        <w:tc>
          <w:tcPr>
            <w:tcW w:w="3272" w:type="dxa"/>
            <w:shd w:val="clear" w:color="auto" w:fill="auto"/>
            <w:vAlign w:val="center"/>
          </w:tcPr>
          <w:p>
            <w:bookmarkStart w:id="72" w:name="大房间网格大小"/>
            <w:r>
              <w:rPr>
                <w:rFonts w:hint="eastAsia"/>
              </w:rPr>
              <w:t>1.00</w:t>
            </w:r>
            <w:bookmarkEnd w:id="72"/>
          </w:p>
        </w:tc>
      </w:tr>
    </w:tbl>
    <w:p>
      <w:pPr>
        <w:pStyle w:val="3"/>
      </w:pPr>
      <w:r>
        <w:rPr>
          <w:rFonts w:hint="eastAsia"/>
          <w:b/>
        </w:rPr>
        <w:t>周边环境：</w:t>
      </w:r>
      <w:r>
        <w:rPr>
          <w:rFonts w:hint="eastAsia"/>
        </w:rPr>
        <w:t>考虑分析区内的建筑物之间遮挡；</w:t>
      </w:r>
    </w:p>
    <w:p>
      <w:pPr>
        <w:pStyle w:val="4"/>
      </w:pPr>
      <w:bookmarkStart w:id="73" w:name="_Toc53"/>
      <w:r>
        <w:rPr>
          <w:rFonts w:hint="eastAsia"/>
        </w:rPr>
        <w:t>建筑饰面材料参数</w:t>
      </w:r>
      <w:bookmarkEnd w:id="66"/>
      <w:bookmarkEnd w:id="73"/>
    </w:p>
    <w:p>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1661"/>
        <w:gridCol w:w="1661"/>
        <w:gridCol w:w="1661"/>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12" w:space="0"/>
              <w:bottom w:val="single" w:color="auto" w:sz="4" w:space="0"/>
            </w:tcBorders>
            <w:shd w:val="clear" w:color="auto" w:fill="E6E6E6"/>
            <w:vAlign w:val="center"/>
          </w:tcPr>
          <w:p>
            <w:r>
              <w:rPr>
                <w:rFonts w:hint="eastAsia"/>
              </w:rPr>
              <w:t>位置</w:t>
            </w:r>
          </w:p>
        </w:tc>
        <w:tc>
          <w:tcPr>
            <w:tcW w:w="1661" w:type="dxa"/>
            <w:tcBorders>
              <w:top w:val="single" w:color="auto" w:sz="12" w:space="0"/>
              <w:bottom w:val="single" w:color="auto" w:sz="4" w:space="0"/>
            </w:tcBorders>
            <w:shd w:val="clear" w:color="auto" w:fill="E6E6E6"/>
            <w:vAlign w:val="center"/>
          </w:tcPr>
          <w:p>
            <w:r>
              <w:rPr>
                <w:rFonts w:hint="eastAsia"/>
              </w:rPr>
              <w:t>顶棚</w:t>
            </w:r>
          </w:p>
        </w:tc>
        <w:tc>
          <w:tcPr>
            <w:tcW w:w="1661" w:type="dxa"/>
            <w:tcBorders>
              <w:top w:val="single" w:color="auto" w:sz="12" w:space="0"/>
              <w:bottom w:val="single" w:color="auto" w:sz="4" w:space="0"/>
            </w:tcBorders>
            <w:shd w:val="clear" w:color="auto" w:fill="E6E6E6"/>
          </w:tcPr>
          <w:p>
            <w:r>
              <w:rPr>
                <w:rFonts w:hint="eastAsia"/>
              </w:rPr>
              <w:t>地面</w:t>
            </w:r>
          </w:p>
        </w:tc>
        <w:tc>
          <w:tcPr>
            <w:tcW w:w="1661" w:type="dxa"/>
            <w:tcBorders>
              <w:top w:val="single" w:color="auto" w:sz="12" w:space="0"/>
              <w:bottom w:val="single" w:color="auto" w:sz="4" w:space="0"/>
            </w:tcBorders>
            <w:shd w:val="clear" w:color="auto" w:fill="E6E6E6"/>
          </w:tcPr>
          <w:p>
            <w:r>
              <w:rPr>
                <w:rFonts w:hint="eastAsia"/>
              </w:rPr>
              <w:t>墙面</w:t>
            </w:r>
          </w:p>
        </w:tc>
        <w:tc>
          <w:tcPr>
            <w:tcW w:w="1662" w:type="dxa"/>
            <w:tcBorders>
              <w:top w:val="single" w:color="auto" w:sz="12" w:space="0"/>
              <w:bottom w:val="single" w:color="auto" w:sz="4" w:space="0"/>
            </w:tcBorders>
            <w:shd w:val="clear" w:color="auto" w:fill="E6E6E6"/>
          </w:tcPr>
          <w:p>
            <w:r>
              <w:rPr>
                <w:rFonts w:hint="eastAsia"/>
              </w:rPr>
              <w:t>外表面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4" w:space="0"/>
            </w:tcBorders>
            <w:shd w:val="clear" w:color="auto" w:fill="auto"/>
            <w:vAlign w:val="center"/>
          </w:tcPr>
          <w:p>
            <w:r>
              <w:rPr>
                <w:rFonts w:hint="eastAsia"/>
              </w:rPr>
              <w:t>反射比材料设计取值</w:t>
            </w:r>
          </w:p>
        </w:tc>
        <w:tc>
          <w:tcPr>
            <w:tcW w:w="1661" w:type="dxa"/>
            <w:tcBorders>
              <w:top w:val="single" w:color="auto" w:sz="4" w:space="0"/>
            </w:tcBorders>
            <w:shd w:val="clear" w:color="auto" w:fill="auto"/>
            <w:vAlign w:val="center"/>
          </w:tcPr>
          <w:p>
            <w:bookmarkStart w:id="74" w:name="顶棚反射比"/>
            <w:r>
              <w:rPr>
                <w:rFonts w:hint="eastAsia"/>
              </w:rPr>
              <w:t>0.75</w:t>
            </w:r>
            <w:bookmarkEnd w:id="74"/>
          </w:p>
        </w:tc>
        <w:tc>
          <w:tcPr>
            <w:tcW w:w="1661" w:type="dxa"/>
            <w:tcBorders>
              <w:top w:val="single" w:color="auto" w:sz="4" w:space="0"/>
            </w:tcBorders>
            <w:vAlign w:val="center"/>
          </w:tcPr>
          <w:p>
            <w:bookmarkStart w:id="75" w:name="地面反射比"/>
            <w:r>
              <w:rPr>
                <w:rFonts w:hint="eastAsia"/>
              </w:rPr>
              <w:t>0.30</w:t>
            </w:r>
            <w:bookmarkEnd w:id="75"/>
          </w:p>
        </w:tc>
        <w:tc>
          <w:tcPr>
            <w:tcW w:w="1661" w:type="dxa"/>
            <w:tcBorders>
              <w:top w:val="single" w:color="auto" w:sz="4" w:space="0"/>
            </w:tcBorders>
            <w:vAlign w:val="center"/>
          </w:tcPr>
          <w:p>
            <w:bookmarkStart w:id="76" w:name="墙面反射比"/>
            <w:r>
              <w:rPr>
                <w:rFonts w:hint="eastAsia"/>
              </w:rPr>
              <w:t>0.60</w:t>
            </w:r>
            <w:bookmarkEnd w:id="76"/>
          </w:p>
        </w:tc>
        <w:tc>
          <w:tcPr>
            <w:tcW w:w="1662" w:type="dxa"/>
            <w:tcBorders>
              <w:top w:val="single" w:color="auto" w:sz="4" w:space="0"/>
            </w:tcBorders>
            <w:vAlign w:val="center"/>
          </w:tcPr>
          <w:p>
            <w:bookmarkStart w:id="77" w:name="外表面反射比"/>
            <w:r>
              <w:rPr>
                <w:rFonts w:hint="eastAsia"/>
              </w:rPr>
              <w:t>0.50</w:t>
            </w:r>
            <w:bookmarkEnd w:id="77"/>
          </w:p>
        </w:tc>
      </w:tr>
    </w:tbl>
    <w:p>
      <w:pPr>
        <w:pStyle w:val="14"/>
        <w:spacing w:line="360" w:lineRule="auto"/>
        <w:ind w:firstLine="360"/>
        <w:rPr>
          <w:rFonts w:ascii="Times New Roman" w:hAnsi="Times New Roman"/>
          <w:sz w:val="18"/>
          <w:szCs w:val="18"/>
        </w:rPr>
      </w:pPr>
    </w:p>
    <w:p>
      <w:pPr>
        <w:pStyle w:val="4"/>
      </w:pPr>
      <w:bookmarkStart w:id="78" w:name="_Toc596"/>
      <w:r>
        <w:rPr>
          <w:rFonts w:hint="eastAsia"/>
        </w:rPr>
        <w:t>门窗类型参数</w:t>
      </w:r>
      <w:bookmarkEnd w:id="78"/>
    </w:p>
    <w:p>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pPr>
        <w:pStyle w:val="3"/>
        <w:rPr>
          <w:sz w:val="18"/>
          <w:szCs w:val="18"/>
          <w:lang w:val="en-US"/>
        </w:rPr>
      </w:pPr>
    </w:p>
    <w:p>
      <w:pPr>
        <w:pStyle w:val="5"/>
      </w:pPr>
      <w:bookmarkStart w:id="79" w:name="_Toc14870"/>
      <w:bookmarkStart w:id="80" w:name="窗"/>
      <w:r>
        <w:t>普通</w:t>
      </w:r>
      <w:r>
        <w:rPr>
          <w:rFonts w:hint="eastAsia"/>
        </w:rPr>
        <w:t>窗</w:t>
      </w:r>
      <w:bookmarkEnd w:id="79"/>
    </w:p>
    <w:bookmarkEnd w:id="80"/>
    <w:tbl>
      <w:tblPr>
        <w:tblStyle w:val="22"/>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r>
              <w:t>1100</w:t>
            </w:r>
          </w:p>
        </w:tc>
        <w:tc>
          <w:tcPr>
            <w:vAlign w:val="center"/>
          </w:tcPr>
          <w:p>
            <w:r>
              <w:t>2100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M15</w:t>
            </w:r>
          </w:p>
        </w:tc>
        <w:tc>
          <w:tcPr>
            <w:vAlign w:val="center"/>
          </w:tcPr>
          <w:p>
            <w:r>
              <w:t>3596</w:t>
            </w:r>
          </w:p>
        </w:tc>
        <w:tc>
          <w:tcPr>
            <w:vAlign w:val="center"/>
          </w:tcPr>
          <w:p>
            <w:r>
              <w:t>1500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M2815</w:t>
            </w:r>
          </w:p>
        </w:tc>
        <w:tc>
          <w:tcPr>
            <w:vAlign w:val="center"/>
          </w:tcPr>
          <w:p>
            <w:r>
              <w:t>2804</w:t>
            </w:r>
          </w:p>
        </w:tc>
        <w:tc>
          <w:tcPr>
            <w:vAlign w:val="center"/>
          </w:tcPr>
          <w:p>
            <w:r>
              <w:t>1500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M3015</w:t>
            </w:r>
          </w:p>
        </w:tc>
        <w:tc>
          <w:tcPr>
            <w:vAlign w:val="center"/>
          </w:tcPr>
          <w:p>
            <w:r>
              <w:t>3000</w:t>
            </w:r>
          </w:p>
        </w:tc>
        <w:tc>
          <w:tcPr>
            <w:vAlign w:val="center"/>
          </w:tcPr>
          <w:p>
            <w:r>
              <w:t>1500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M3615</w:t>
            </w:r>
          </w:p>
        </w:tc>
        <w:tc>
          <w:tcPr>
            <w:vAlign w:val="center"/>
          </w:tcPr>
          <w:p>
            <w:r>
              <w:t>3600</w:t>
            </w:r>
          </w:p>
        </w:tc>
        <w:tc>
          <w:tcPr>
            <w:vAlign w:val="center"/>
          </w:tcPr>
          <w:p>
            <w:r>
              <w:t>3000</w:t>
            </w:r>
          </w:p>
        </w:tc>
        <w:tc>
          <w:tcPr>
            <w:vAlign w:val="center"/>
          </w:tcPr>
          <w:p>
            <w:r>
              <w:t>单层铝窗</w:t>
            </w:r>
          </w:p>
        </w:tc>
        <w:tc>
          <w:tcPr>
            <w:vAlign w:val="center"/>
          </w:tcPr>
          <w:p>
            <w:r>
              <w:t>普通玻璃</w:t>
            </w:r>
          </w:p>
        </w:tc>
        <w:tc>
          <w:tcPr>
            <w:vAlign w:val="center"/>
          </w:tcPr>
          <w:p>
            <w:r>
              <w:t>0.89</w:t>
            </w:r>
          </w:p>
        </w:tc>
        <w:tc>
          <w:tcPr>
            <w:vAlign w:val="center"/>
          </w:tcPr>
          <w:p>
            <w: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5"/>
      </w:pPr>
      <w:bookmarkStart w:id="81" w:name="_Toc5920"/>
      <w:bookmarkStart w:id="82" w:name="幕墙"/>
      <w:r>
        <w:rPr>
          <w:rFonts w:hint="eastAsia"/>
        </w:rPr>
        <w:t>玻璃幕墙</w:t>
      </w:r>
      <w:bookmarkEnd w:id="81"/>
    </w:p>
    <w:bookmarkEnd w:id="82"/>
    <w:tbl>
      <w:tblPr>
        <w:tblStyle w:val="22"/>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r>
              <w:t>6559</w:t>
            </w:r>
          </w:p>
        </w:tc>
        <w:tc>
          <w:tcPr>
            <w:vAlign w:val="center"/>
          </w:tcPr>
          <w:p>
            <w:r>
              <w:t>5000</w:t>
            </w:r>
          </w:p>
        </w:tc>
        <w:tc>
          <w:tcPr>
            <w:vAlign w:val="center"/>
          </w:tcPr>
          <w:p>
            <w:r>
              <w:t>单层铝窗</w:t>
            </w:r>
          </w:p>
        </w:tc>
        <w:tc>
          <w:tcPr>
            <w:vAlign w:val="center"/>
          </w:tcPr>
          <w:p>
            <w:r>
              <w:t>普通玻璃</w:t>
            </w:r>
          </w:p>
        </w:tc>
        <w:tc>
          <w:tcPr>
            <w:vAlign w:val="center"/>
          </w:tcPr>
          <w:p>
            <w:r>
              <w:t>0.89</w:t>
            </w:r>
          </w:p>
        </w:tc>
        <w:tc>
          <w:tcPr>
            <w:vAlign w:val="center"/>
          </w:tcPr>
          <w:p>
            <w: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bookmarkStart w:id="83" w:name="窗污染折减系数"/>
      <w:bookmarkEnd w:id="83"/>
    </w:p>
    <w:p>
      <w:pPr>
        <w:pStyle w:val="2"/>
        <w:ind w:left="432" w:hanging="432"/>
      </w:pPr>
      <w:bookmarkStart w:id="84" w:name="_Toc30465"/>
      <w:r>
        <w:rPr>
          <w:rFonts w:hint="eastAsia"/>
        </w:rPr>
        <w:t>动态采光达标统计</w:t>
      </w:r>
      <w:bookmarkEnd w:id="84"/>
    </w:p>
    <w:p>
      <w:pPr>
        <w:pStyle w:val="3"/>
        <w:ind w:firstLine="420" w:firstLineChars="200"/>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Style w:val="22"/>
        <w:tblW w:w="9299"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79"/>
        <w:gridCol w:w="743"/>
        <w:gridCol w:w="160"/>
        <w:gridCol w:w="1090"/>
        <w:gridCol w:w="165"/>
        <w:gridCol w:w="585"/>
        <w:gridCol w:w="750"/>
        <w:gridCol w:w="80"/>
        <w:gridCol w:w="942"/>
        <w:gridCol w:w="473"/>
        <w:gridCol w:w="549"/>
        <w:gridCol w:w="1431"/>
        <w:gridCol w:w="58"/>
        <w:gridCol w:w="1489"/>
        <w:gridCol w:w="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pPr>
              <w:jc w:val="center"/>
            </w:pPr>
            <w:r>
              <w:t>楼层</w:t>
            </w:r>
          </w:p>
        </w:tc>
        <w:tc>
          <w:tcPr>
            <w:gridSpan w:val="2"/>
            <w:shd w:val="clear" w:color="auto" w:fill="E6E6E6"/>
            <w:vAlign w:val="center"/>
          </w:tcPr>
          <w:p>
            <w:pPr>
              <w:jc w:val="center"/>
            </w:pPr>
            <w:r>
              <w:t>房间</w:t>
            </w:r>
            <w:r>
              <w:br w:type="textWrapping"/>
            </w:r>
            <w:r>
              <w:t>编号</w:t>
            </w:r>
          </w:p>
        </w:tc>
        <w:tc>
          <w:tcPr>
            <w:shd w:val="clear" w:color="auto" w:fill="E6E6E6"/>
            <w:vAlign w:val="center"/>
          </w:tcPr>
          <w:p>
            <w:pPr>
              <w:jc w:val="center"/>
            </w:pPr>
            <w:r>
              <w:t>房间类型</w:t>
            </w:r>
          </w:p>
        </w:tc>
        <w:tc>
          <w:tcPr>
            <w:gridSpan w:val="2"/>
            <w:shd w:val="clear" w:color="auto" w:fill="E6E6E6"/>
            <w:vAlign w:val="center"/>
          </w:tcPr>
          <w:p>
            <w:pPr>
              <w:jc w:val="center"/>
            </w:pPr>
            <w:r>
              <w:t>采光</w:t>
            </w:r>
            <w:r>
              <w:br w:type="textWrapping"/>
            </w:r>
            <w:r>
              <w:t>等级</w:t>
            </w:r>
          </w:p>
        </w:tc>
        <w:tc>
          <w:tcPr>
            <w:shd w:val="clear" w:color="auto" w:fill="E6E6E6"/>
            <w:vAlign w:val="center"/>
          </w:tcPr>
          <w:p>
            <w:pPr>
              <w:jc w:val="center"/>
            </w:pPr>
            <w:r>
              <w:t>采光</w:t>
            </w:r>
            <w:r>
              <w:br w:type="textWrapping"/>
            </w:r>
            <w:r>
              <w:t>类型</w:t>
            </w:r>
          </w:p>
        </w:tc>
        <w:tc>
          <w:tcPr>
            <w:gridSpan w:val="2"/>
            <w:shd w:val="clear" w:color="auto" w:fill="E6E6E6"/>
            <w:vAlign w:val="center"/>
          </w:tcPr>
          <w:p>
            <w:pPr>
              <w:jc w:val="center"/>
            </w:pPr>
            <w:r>
              <w:t>设计照度</w:t>
            </w:r>
            <w:r>
              <w:br w:type="textWrapping"/>
            </w:r>
            <w:r>
              <w:t>要求(Lx)</w:t>
            </w:r>
          </w:p>
        </w:tc>
        <w:tc>
          <w:tcPr>
            <w:gridSpan w:val="2"/>
            <w:shd w:val="clear" w:color="auto" w:fill="E6E6E6"/>
            <w:vAlign w:val="center"/>
          </w:tcPr>
          <w:p>
            <w:pPr>
              <w:jc w:val="center"/>
            </w:pPr>
            <w:r>
              <w:t>房间面积</w:t>
            </w:r>
            <w:r>
              <w:br w:type="textWrapping"/>
            </w:r>
            <w:r>
              <w:t>(m2)</w:t>
            </w:r>
          </w:p>
        </w:tc>
        <w:tc>
          <w:tcPr>
            <w:gridSpan w:val="2"/>
            <w:shd w:val="clear" w:color="auto" w:fill="E6E6E6"/>
            <w:vAlign w:val="center"/>
          </w:tcPr>
          <w:p>
            <w:pPr>
              <w:jc w:val="center"/>
            </w:pPr>
            <w:r>
              <w:t>达标面积</w:t>
            </w:r>
            <w:r>
              <w:br w:type="textWrapping"/>
            </w:r>
            <w:r>
              <w:t>比例(%)</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restart"/>
            <w:vAlign w:val="center"/>
          </w:tcPr>
          <w:p>
            <w:pPr>
              <w:jc w:val="center"/>
            </w:pPr>
            <w:r>
              <w:t>1</w:t>
            </w:r>
          </w:p>
        </w:tc>
        <w:tc>
          <w:tcPr>
            <w:gridSpan w:val="2"/>
            <w:vAlign w:val="center"/>
          </w:tcPr>
          <w:p>
            <w:pPr>
              <w:jc w:val="center"/>
            </w:pPr>
            <w:r>
              <w:t>1001</w:t>
            </w:r>
          </w:p>
        </w:tc>
        <w:tc>
          <w:tcPr>
            <w:vAlign w:val="center"/>
          </w:tcPr>
          <w:p>
            <w:pPr>
              <w:jc w:val="center"/>
            </w:pPr>
            <w:r>
              <w:t>库房</w:t>
            </w:r>
          </w:p>
        </w:tc>
        <w:tc>
          <w:tcPr>
            <w:gridSpan w:val="2"/>
            <w:vAlign w:val="center"/>
          </w:tcPr>
          <w:p>
            <w:pPr>
              <w:jc w:val="center"/>
            </w:pPr>
            <w:r>
              <w:t>V</w:t>
            </w:r>
          </w:p>
        </w:tc>
        <w:tc>
          <w:tcPr>
            <w:vAlign w:val="center"/>
          </w:tcPr>
          <w:p>
            <w:pPr>
              <w:jc w:val="center"/>
            </w:pPr>
            <w:r>
              <w:t>侧面</w:t>
            </w:r>
          </w:p>
        </w:tc>
        <w:tc>
          <w:tcPr>
            <w:gridSpan w:val="2"/>
            <w:vAlign w:val="center"/>
          </w:tcPr>
          <w:p>
            <w:pPr>
              <w:jc w:val="center"/>
            </w:pPr>
            <w:r>
              <w:t>150</w:t>
            </w:r>
          </w:p>
        </w:tc>
        <w:tc>
          <w:tcPr>
            <w:gridSpan w:val="2"/>
            <w:vAlign w:val="center"/>
          </w:tcPr>
          <w:p>
            <w:pPr>
              <w:jc w:val="center"/>
            </w:pPr>
            <w:r>
              <w:t>15.01</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1003</w:t>
            </w:r>
          </w:p>
        </w:tc>
        <w:tc>
          <w:tcPr>
            <w:vAlign w:val="center"/>
          </w:tcPr>
          <w:p>
            <w:pPr>
              <w:jc w:val="center"/>
            </w:pPr>
            <w:r>
              <w:t>库房</w:t>
            </w:r>
          </w:p>
        </w:tc>
        <w:tc>
          <w:tcPr>
            <w:gridSpan w:val="2"/>
            <w:vAlign w:val="center"/>
          </w:tcPr>
          <w:p>
            <w:pPr>
              <w:jc w:val="center"/>
            </w:pPr>
            <w:r>
              <w:t>V</w:t>
            </w:r>
          </w:p>
        </w:tc>
        <w:tc>
          <w:tcPr>
            <w:vAlign w:val="center"/>
          </w:tcPr>
          <w:p>
            <w:pPr>
              <w:jc w:val="center"/>
            </w:pPr>
            <w:r>
              <w:t>侧面</w:t>
            </w:r>
          </w:p>
        </w:tc>
        <w:tc>
          <w:tcPr>
            <w:gridSpan w:val="2"/>
            <w:vAlign w:val="center"/>
          </w:tcPr>
          <w:p>
            <w:pPr>
              <w:jc w:val="center"/>
            </w:pPr>
            <w:r>
              <w:t>150</w:t>
            </w:r>
          </w:p>
        </w:tc>
        <w:tc>
          <w:tcPr>
            <w:gridSpan w:val="2"/>
            <w:vAlign w:val="center"/>
          </w:tcPr>
          <w:p>
            <w:pPr>
              <w:jc w:val="center"/>
            </w:pPr>
            <w:r>
              <w:t>62.30</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1004</w:t>
            </w:r>
          </w:p>
        </w:tc>
        <w:tc>
          <w:tcPr>
            <w:vAlign w:val="center"/>
          </w:tcPr>
          <w:p>
            <w:pPr>
              <w:jc w:val="center"/>
            </w:pPr>
            <w:r>
              <w:t>库房</w:t>
            </w:r>
          </w:p>
        </w:tc>
        <w:tc>
          <w:tcPr>
            <w:gridSpan w:val="2"/>
            <w:vAlign w:val="center"/>
          </w:tcPr>
          <w:p>
            <w:pPr>
              <w:jc w:val="center"/>
            </w:pPr>
            <w:r>
              <w:t>V</w:t>
            </w:r>
          </w:p>
        </w:tc>
        <w:tc>
          <w:tcPr>
            <w:vAlign w:val="center"/>
          </w:tcPr>
          <w:p>
            <w:pPr>
              <w:jc w:val="center"/>
            </w:pPr>
            <w:r>
              <w:t>侧面</w:t>
            </w:r>
          </w:p>
        </w:tc>
        <w:tc>
          <w:tcPr>
            <w:gridSpan w:val="2"/>
            <w:vAlign w:val="center"/>
          </w:tcPr>
          <w:p>
            <w:pPr>
              <w:jc w:val="center"/>
            </w:pPr>
            <w:r>
              <w:t>150</w:t>
            </w:r>
          </w:p>
        </w:tc>
        <w:tc>
          <w:tcPr>
            <w:gridSpan w:val="2"/>
            <w:vAlign w:val="center"/>
          </w:tcPr>
          <w:p>
            <w:pPr>
              <w:jc w:val="center"/>
            </w:pPr>
            <w:r>
              <w:t>33.52</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Align w:val="center"/>
          </w:tcPr>
          <w:p>
            <w:pPr>
              <w:jc w:val="center"/>
            </w:pPr>
            <w:r>
              <w:t>2</w:t>
            </w:r>
          </w:p>
        </w:tc>
        <w:tc>
          <w:tcPr>
            <w:gridSpan w:val="2"/>
            <w:vAlign w:val="center"/>
          </w:tcPr>
          <w:p>
            <w:pPr>
              <w:jc w:val="center"/>
            </w:pPr>
            <w:r>
              <w:t>2001</w:t>
            </w:r>
          </w:p>
        </w:tc>
        <w:tc>
          <w:tcPr>
            <w:vAlign w:val="center"/>
          </w:tcPr>
          <w:p>
            <w:pPr>
              <w:jc w:val="center"/>
            </w:pPr>
            <w:r>
              <w:t>展厅（单层及顶层）</w:t>
            </w:r>
          </w:p>
        </w:tc>
        <w:tc>
          <w:tcPr>
            <w:gridSpan w:val="2"/>
            <w:vAlign w:val="center"/>
          </w:tcPr>
          <w:p>
            <w:pPr>
              <w:jc w:val="center"/>
            </w:pPr>
            <w:r>
              <w:t>III</w:t>
            </w:r>
          </w:p>
        </w:tc>
        <w:tc>
          <w:tcPr>
            <w:vAlign w:val="center"/>
          </w:tcPr>
          <w:p>
            <w:pPr>
              <w:jc w:val="center"/>
            </w:pPr>
            <w:r>
              <w:t>侧面</w:t>
            </w:r>
          </w:p>
        </w:tc>
        <w:tc>
          <w:tcPr>
            <w:gridSpan w:val="2"/>
            <w:vAlign w:val="center"/>
          </w:tcPr>
          <w:p>
            <w:pPr>
              <w:jc w:val="center"/>
            </w:pPr>
            <w:r>
              <w:t>450</w:t>
            </w:r>
          </w:p>
        </w:tc>
        <w:tc>
          <w:tcPr>
            <w:gridSpan w:val="2"/>
            <w:vAlign w:val="center"/>
          </w:tcPr>
          <w:p>
            <w:pPr>
              <w:jc w:val="center"/>
            </w:pPr>
            <w:r>
              <w:t>156.79</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Align w:val="center"/>
          </w:tcPr>
          <w:p>
            <w:pPr>
              <w:jc w:val="center"/>
            </w:pPr>
            <w:r>
              <w:t>3</w:t>
            </w:r>
          </w:p>
        </w:tc>
        <w:tc>
          <w:tcPr>
            <w:gridSpan w:val="2"/>
            <w:vAlign w:val="center"/>
          </w:tcPr>
          <w:p>
            <w:pPr>
              <w:jc w:val="center"/>
            </w:pPr>
            <w:r>
              <w:t>3001</w:t>
            </w:r>
          </w:p>
        </w:tc>
        <w:tc>
          <w:tcPr>
            <w:vAlign w:val="center"/>
          </w:tcPr>
          <w:p>
            <w:pPr>
              <w:jc w:val="center"/>
            </w:pPr>
            <w:r>
              <w:t>展厅（单层及顶层）</w:t>
            </w:r>
          </w:p>
        </w:tc>
        <w:tc>
          <w:tcPr>
            <w:gridSpan w:val="2"/>
            <w:vAlign w:val="center"/>
          </w:tcPr>
          <w:p>
            <w:pPr>
              <w:jc w:val="center"/>
            </w:pPr>
            <w:r>
              <w:t>III</w:t>
            </w:r>
          </w:p>
        </w:tc>
        <w:tc>
          <w:tcPr>
            <w:vAlign w:val="center"/>
          </w:tcPr>
          <w:p>
            <w:pPr>
              <w:jc w:val="center"/>
            </w:pPr>
            <w:r>
              <w:t>侧面</w:t>
            </w:r>
          </w:p>
        </w:tc>
        <w:tc>
          <w:tcPr>
            <w:gridSpan w:val="2"/>
            <w:vAlign w:val="center"/>
          </w:tcPr>
          <w:p>
            <w:pPr>
              <w:jc w:val="center"/>
            </w:pPr>
            <w:r>
              <w:t>450</w:t>
            </w:r>
          </w:p>
        </w:tc>
        <w:tc>
          <w:tcPr>
            <w:gridSpan w:val="2"/>
            <w:vAlign w:val="center"/>
          </w:tcPr>
          <w:p>
            <w:pPr>
              <w:jc w:val="center"/>
            </w:pPr>
            <w:r>
              <w:t>164.31</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pPr>
              <w:jc w:val="center"/>
            </w:pPr>
            <w:r>
              <w:t>房间类型</w:t>
            </w:r>
          </w:p>
        </w:tc>
        <w:tc>
          <w:tcPr>
            <w:gridSpan w:val="3"/>
            <w:shd w:val="clear" w:color="auto" w:fill="E6E6E6"/>
            <w:vAlign w:val="center"/>
          </w:tcPr>
          <w:p>
            <w:pPr>
              <w:jc w:val="center"/>
            </w:pPr>
            <w:r>
              <w:t>采光类型</w:t>
            </w:r>
          </w:p>
        </w:tc>
        <w:tc>
          <w:tcPr>
            <w:gridSpan w:val="3"/>
            <w:shd w:val="clear" w:color="auto" w:fill="E6E6E6"/>
            <w:vAlign w:val="center"/>
          </w:tcPr>
          <w:p>
            <w:pPr>
              <w:jc w:val="center"/>
            </w:pPr>
            <w:r>
              <w:t>设计照度(Lx)</w:t>
            </w:r>
          </w:p>
        </w:tc>
        <w:tc>
          <w:tcPr>
            <w:gridSpan w:val="2"/>
            <w:shd w:val="clear" w:color="auto" w:fill="E6E6E6"/>
            <w:vAlign w:val="center"/>
          </w:tcPr>
          <w:p>
            <w:pPr>
              <w:jc w:val="center"/>
            </w:pPr>
            <w:r>
              <w:t>总面积(m2)</w:t>
            </w:r>
          </w:p>
        </w:tc>
        <w:tc>
          <w:tcPr>
            <w:gridSpan w:val="2"/>
            <w:shd w:val="clear" w:color="auto" w:fill="E6E6E6"/>
            <w:vAlign w:val="center"/>
          </w:tcPr>
          <w:p>
            <w:pPr>
              <w:jc w:val="center"/>
            </w:pPr>
            <w:r>
              <w:t>达标面积比例(%)</w:t>
            </w:r>
          </w:p>
        </w:tc>
        <w:tc>
          <w:tcPr>
            <w:gridSpan w:val="3"/>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vAlign w:val="center"/>
          </w:tcPr>
          <w:p>
            <w:pPr>
              <w:jc w:val="center"/>
            </w:pPr>
            <w:r>
              <w:t>库房</w:t>
            </w:r>
          </w:p>
        </w:tc>
        <w:tc>
          <w:tcPr>
            <w:gridSpan w:val="3"/>
            <w:vAlign w:val="center"/>
          </w:tcPr>
          <w:p>
            <w:pPr>
              <w:jc w:val="center"/>
            </w:pPr>
            <w:r>
              <w:t>侧面</w:t>
            </w:r>
          </w:p>
        </w:tc>
        <w:tc>
          <w:tcPr>
            <w:gridSpan w:val="3"/>
            <w:vAlign w:val="center"/>
          </w:tcPr>
          <w:p>
            <w:pPr>
              <w:jc w:val="center"/>
            </w:pPr>
            <w:r>
              <w:t>150</w:t>
            </w:r>
          </w:p>
        </w:tc>
        <w:tc>
          <w:tcPr>
            <w:gridSpan w:val="2"/>
            <w:vAlign w:val="center"/>
          </w:tcPr>
          <w:p>
            <w:pPr>
              <w:jc w:val="center"/>
            </w:pPr>
            <w:r>
              <w:t>110.83</w:t>
            </w:r>
          </w:p>
        </w:tc>
        <w:tc>
          <w:tcPr>
            <w:gridSpan w:val="2"/>
            <w:vAlign w:val="center"/>
          </w:tcPr>
          <w:p>
            <w:pPr>
              <w:jc w:val="center"/>
            </w:pPr>
            <w:r>
              <w:t>100</w:t>
            </w:r>
          </w:p>
        </w:tc>
        <w:tc>
          <w:tcPr>
            <w:gridSpan w:val="3"/>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vAlign w:val="center"/>
          </w:tcPr>
          <w:p>
            <w:pPr>
              <w:jc w:val="center"/>
            </w:pPr>
            <w:r>
              <w:t>展厅（单层及顶层）</w:t>
            </w:r>
          </w:p>
        </w:tc>
        <w:tc>
          <w:tcPr>
            <w:gridSpan w:val="3"/>
            <w:vAlign w:val="center"/>
          </w:tcPr>
          <w:p>
            <w:pPr>
              <w:jc w:val="center"/>
            </w:pPr>
            <w:r>
              <w:t>侧面</w:t>
            </w:r>
          </w:p>
        </w:tc>
        <w:tc>
          <w:tcPr>
            <w:gridSpan w:val="3"/>
            <w:vAlign w:val="center"/>
          </w:tcPr>
          <w:p>
            <w:pPr>
              <w:jc w:val="center"/>
            </w:pPr>
            <w:r>
              <w:t>450</w:t>
            </w:r>
          </w:p>
        </w:tc>
        <w:tc>
          <w:tcPr>
            <w:gridSpan w:val="2"/>
            <w:vAlign w:val="center"/>
          </w:tcPr>
          <w:p>
            <w:pPr>
              <w:jc w:val="center"/>
            </w:pPr>
            <w:r>
              <w:t>321.09</w:t>
            </w:r>
          </w:p>
        </w:tc>
        <w:tc>
          <w:tcPr>
            <w:gridSpan w:val="2"/>
            <w:vAlign w:val="center"/>
          </w:tcPr>
          <w:p>
            <w:pPr>
              <w:jc w:val="center"/>
            </w:pPr>
            <w:r>
              <w:t>100</w:t>
            </w:r>
          </w:p>
        </w:tc>
        <w:tc>
          <w:tcPr>
            <w:gridSpan w:val="3"/>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10"/>
            <w:vAlign w:val="center"/>
          </w:tcPr>
          <w:p>
            <w:pPr>
              <w:jc w:val="center"/>
            </w:pPr>
            <w:r>
              <w:t>多区域面积加权平均</w:t>
            </w:r>
          </w:p>
        </w:tc>
        <w:tc>
          <w:tcPr>
            <w:gridSpan w:val="2"/>
            <w:vAlign w:val="center"/>
          </w:tcPr>
          <w:p>
            <w:pPr>
              <w:jc w:val="center"/>
            </w:pPr>
            <w:r>
              <w:t>100</w:t>
            </w:r>
          </w:p>
        </w:tc>
        <w:tc>
          <w:tcPr>
            <w:gridSpan w:val="3"/>
            <w:vAlign w:val="center"/>
          </w:tcPr>
          <w:p>
            <w:pPr>
              <w:jc w:val="center"/>
            </w:pPr>
            <w:r>
              <w:rPr>
                <w:b/>
              </w:rPr>
              <w:t>3分</w:t>
            </w:r>
          </w:p>
        </w:tc>
      </w:tr>
    </w:tbl>
    <w:p>
      <w:pPr>
        <w:rPr>
          <w:lang w:val="en-US"/>
        </w:rPr>
      </w:pPr>
      <w:bookmarkStart w:id="85" w:name="达标率表格"/>
      <w:bookmarkEnd w:id="85"/>
    </w:p>
    <w:p>
      <w:pPr>
        <w:pStyle w:val="2"/>
        <w:ind w:left="432" w:hanging="432"/>
      </w:pPr>
      <w:bookmarkStart w:id="86" w:name="_Toc513555457"/>
      <w:bookmarkStart w:id="87" w:name="_Toc9873"/>
      <w:r>
        <w:rPr>
          <w:rFonts w:hint="eastAsia"/>
        </w:rPr>
        <w:t>动态采光</w:t>
      </w:r>
      <w:bookmarkEnd w:id="86"/>
      <w:r>
        <w:rPr>
          <w:rFonts w:hint="eastAsia"/>
        </w:rPr>
        <w:t>统计图</w:t>
      </w:r>
      <w:bookmarkEnd w:id="87"/>
    </w:p>
    <w:p>
      <w:pPr>
        <w:pStyle w:val="3"/>
        <w:ind w:firstLine="420" w:firstLineChars="20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pPr>
        <w:pStyle w:val="3"/>
        <w:jc w:val="center"/>
        <w:rPr>
          <w:b/>
          <w:bCs/>
          <w:lang w:val="en-US"/>
        </w:rPr>
      </w:pPr>
      <w:bookmarkStart w:id="88" w:name="逐日统计图"/>
      <w:bookmarkEnd w:id="88"/>
      <w:r>
        <w:drawing>
          <wp:inline distT="0" distB="0" distL="0" distR="0">
            <wp:extent cx="5667375" cy="2962275"/>
            <wp:effectExtent l="0" t="0" r="0"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pic:cNvPicPr>
                      <a:picLocks noChangeAspect="1"/>
                    </pic:cNvPicPr>
                  </pic:nvPicPr>
                  <pic:blipFill>
                    <a:blip r:embed="rId7"/>
                    <a:stretch>
                      <a:fillRect/>
                    </a:stretch>
                  </pic:blipFill>
                  <pic:spPr>
                    <a:xfrm>
                      <a:off x="0" y="0"/>
                      <a:ext cx="5667375" cy="2962275"/>
                    </a:xfrm>
                    <a:prstGeom prst="rect">
                      <a:avLst/>
                    </a:prstGeom>
                  </pic:spPr>
                </pic:pic>
              </a:graphicData>
            </a:graphic>
          </wp:inline>
        </w:drawing>
      </w:r>
    </w:p>
    <w:p>
      <w:pPr>
        <w:pStyle w:val="3"/>
        <w:jc w:val="center"/>
        <w:rPr>
          <w:rFonts w:ascii="黑体" w:hAnsi="黑体" w:eastAsia="黑体"/>
          <w:lang w:val="en-US"/>
        </w:rPr>
      </w:pPr>
      <w:r>
        <w:rPr>
          <w:rFonts w:hint="eastAsia" w:ascii="黑体" w:hAnsi="黑体" w:eastAsia="黑体"/>
          <w:lang w:val="en-US"/>
        </w:rPr>
        <w:t>动态采光逐日统计图</w:t>
      </w:r>
    </w:p>
    <w:p>
      <w:pPr>
        <w:pStyle w:val="3"/>
        <w:jc w:val="center"/>
        <w:rPr>
          <w:b/>
          <w:bCs/>
          <w:lang w:val="en-US"/>
        </w:rPr>
      </w:pPr>
      <w:bookmarkStart w:id="89" w:name="逐月统计图"/>
      <w:bookmarkEnd w:id="89"/>
      <w:r>
        <w:drawing>
          <wp:inline distT="0" distB="0" distL="0" distR="0">
            <wp:extent cx="5667375" cy="2962275"/>
            <wp:effectExtent l="0" t="0" r="0"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pic:cNvPicPr>
                      <a:picLocks noChangeAspect="1"/>
                    </pic:cNvPicPr>
                  </pic:nvPicPr>
                  <pic:blipFill>
                    <a:blip r:embed="rId8"/>
                    <a:stretch>
                      <a:fillRect/>
                    </a:stretch>
                  </pic:blipFill>
                  <pic:spPr>
                    <a:xfrm>
                      <a:off x="0" y="0"/>
                      <a:ext cx="5667375" cy="2962275"/>
                    </a:xfrm>
                    <a:prstGeom prst="rect">
                      <a:avLst/>
                    </a:prstGeom>
                  </pic:spPr>
                </pic:pic>
              </a:graphicData>
            </a:graphic>
          </wp:inline>
        </w:drawing>
      </w:r>
    </w:p>
    <w:p>
      <w:pPr>
        <w:pStyle w:val="3"/>
        <w:jc w:val="center"/>
        <w:rPr>
          <w:rFonts w:ascii="黑体" w:hAnsi="黑体" w:eastAsia="黑体"/>
          <w:lang w:val="en-US"/>
        </w:rPr>
      </w:pPr>
      <w:r>
        <w:rPr>
          <w:rFonts w:hint="eastAsia" w:ascii="黑体" w:hAnsi="黑体" w:eastAsia="黑体"/>
          <w:lang w:val="en-US"/>
        </w:rPr>
        <w:t>动态采光逐月统计图</w:t>
      </w:r>
    </w:p>
    <w:p/>
    <w:p>
      <w:pPr>
        <w:pStyle w:val="2"/>
        <w:ind w:left="432" w:hanging="432"/>
      </w:pPr>
      <w:bookmarkStart w:id="90" w:name="_Toc19898"/>
      <w:r>
        <w:rPr>
          <w:rFonts w:hint="eastAsia"/>
        </w:rPr>
        <w:t>评价结论</w:t>
      </w:r>
      <w:bookmarkEnd w:id="90"/>
    </w:p>
    <w:p>
      <w:pPr>
        <w:pStyle w:val="3"/>
        <w:ind w:firstLine="420" w:firstLineChars="200"/>
      </w:pPr>
      <w:r>
        <w:t>《绿色建筑评价标准》GB/T 50378-2019的</w:t>
      </w:r>
      <w:r>
        <w:rPr>
          <w:rFonts w:hint="eastAsia"/>
        </w:rPr>
        <w:t>5</w:t>
      </w:r>
      <w:r>
        <w:t>.2.8条</w:t>
      </w:r>
      <w:r>
        <w:rPr>
          <w:rFonts w:hint="eastAsia"/>
        </w:rPr>
        <w:t>对</w:t>
      </w:r>
      <w:r>
        <w:t>公共建筑主要功能房间的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2"/>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528"/>
        <w:gridCol w:w="2126"/>
        <w:gridCol w:w="18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shd w:val="clear" w:color="auto" w:fill="E6E6E6"/>
            <w:vAlign w:val="center"/>
          </w:tcPr>
          <w:p>
            <w:r>
              <w:t>采光总面积（</w:t>
            </w:r>
            <w:r>
              <w:rPr>
                <w:rFonts w:hint="eastAsia"/>
              </w:rPr>
              <w:t>m</w:t>
            </w:r>
            <w:r>
              <w:rPr>
                <w:vertAlign w:val="superscript"/>
              </w:rPr>
              <w:t>2</w:t>
            </w:r>
            <w:r>
              <w:t>）</w:t>
            </w:r>
          </w:p>
        </w:tc>
        <w:tc>
          <w:tcPr>
            <w:tcW w:w="2528" w:type="dxa"/>
            <w:shd w:val="clear" w:color="auto" w:fill="E6E6E6"/>
            <w:vAlign w:val="center"/>
          </w:tcPr>
          <w:p>
            <w:bookmarkStart w:id="91" w:name="动态评价指标"/>
            <w:r>
              <w:rPr>
                <w:rFonts w:hint="eastAsia"/>
              </w:rPr>
              <w:t>达标面积比例(%)</w:t>
            </w:r>
            <w:bookmarkEnd w:id="91"/>
          </w:p>
        </w:tc>
        <w:tc>
          <w:tcPr>
            <w:tcW w:w="2126" w:type="dxa"/>
            <w:shd w:val="clear" w:color="auto" w:fill="E6E6E6"/>
            <w:vAlign w:val="center"/>
          </w:tcPr>
          <w:p>
            <w:r>
              <w:rPr>
                <w:rFonts w:hint="eastAsia"/>
              </w:rPr>
              <w:t>标准</w:t>
            </w:r>
            <w:r>
              <w:t>要求</w:t>
            </w:r>
            <w:r>
              <w:rPr>
                <w:rFonts w:hint="eastAsia"/>
              </w:rPr>
              <w:t>（</w:t>
            </w:r>
            <w:bookmarkStart w:id="92" w:name="动态评价指标单位"/>
            <w:r>
              <w:rPr>
                <w:rFonts w:hint="eastAsia"/>
              </w:rPr>
              <w:t>%</w:t>
            </w:r>
            <w:bookmarkEnd w:id="92"/>
            <w:r>
              <w:rPr>
                <w:rFonts w:hint="eastAsia"/>
              </w:rPr>
              <w:t>）</w:t>
            </w:r>
          </w:p>
        </w:tc>
        <w:tc>
          <w:tcPr>
            <w:tcW w:w="1855" w:type="dxa"/>
            <w:shd w:val="clear" w:color="auto" w:fill="E6E6E6"/>
            <w:vAlign w:val="center"/>
          </w:tcPr>
          <w:p>
            <w: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vAlign w:val="center"/>
          </w:tcPr>
          <w:p>
            <w:pPr>
              <w:pStyle w:val="3"/>
              <w:jc w:val="center"/>
            </w:pPr>
            <w:bookmarkStart w:id="93" w:name="采光面积"/>
            <w:r>
              <w:t>431.92</w:t>
            </w:r>
            <w:bookmarkEnd w:id="93"/>
          </w:p>
        </w:tc>
        <w:tc>
          <w:tcPr>
            <w:tcW w:w="2528" w:type="dxa"/>
            <w:vAlign w:val="center"/>
          </w:tcPr>
          <w:p>
            <w:pPr>
              <w:pStyle w:val="3"/>
              <w:jc w:val="center"/>
            </w:pPr>
            <w:bookmarkStart w:id="94" w:name="平均时数"/>
            <w:r>
              <w:t>100</w:t>
            </w:r>
            <w:bookmarkEnd w:id="94"/>
          </w:p>
        </w:tc>
        <w:tc>
          <w:tcPr>
            <w:tcW w:w="2126" w:type="dxa"/>
            <w:vAlign w:val="center"/>
          </w:tcPr>
          <w:p>
            <w:pPr>
              <w:pStyle w:val="3"/>
              <w:jc w:val="center"/>
            </w:pPr>
            <w:bookmarkStart w:id="95" w:name="动态评价指标要求"/>
            <w:r>
              <w:rPr>
                <w:rFonts w:hint="eastAsia"/>
              </w:rPr>
              <w:t>60</w:t>
            </w:r>
            <w:bookmarkEnd w:id="95"/>
          </w:p>
        </w:tc>
        <w:tc>
          <w:tcPr>
            <w:tcW w:w="1855" w:type="dxa"/>
            <w:vAlign w:val="center"/>
          </w:tcPr>
          <w:p>
            <w:pPr>
              <w:pStyle w:val="3"/>
              <w:jc w:val="center"/>
            </w:pPr>
            <w:bookmarkStart w:id="96" w:name="动态采光得分"/>
            <w:r>
              <w:rPr>
                <w:rFonts w:hint="eastAsia"/>
              </w:rPr>
              <w:t>3</w:t>
            </w:r>
            <w:bookmarkEnd w:id="96"/>
          </w:p>
        </w:tc>
      </w:tr>
    </w:tbl>
    <w:p>
      <w:pPr>
        <w:pStyle w:val="3"/>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pPr>
    <w:r>
      <w:fldChar w:fldCharType="begin"/>
    </w:r>
    <w:r>
      <w:instrText xml:space="preserve"> HYPERLINK "http://www.gbsware.cn/" </w:instrText>
    </w:r>
    <w:r>
      <w:fldChar w:fldCharType="separate"/>
    </w:r>
    <w:r>
      <w:rPr>
        <w:rStyle w:val="27"/>
        <w:u w:val="none"/>
      </w:rPr>
      <w:t>http://www.gbsware.cn/</w:t>
    </w:r>
    <w:r>
      <w:rPr>
        <w:rStyle w:val="27"/>
        <w:u w:val="none"/>
      </w:rPr>
      <w:fldChar w:fldCharType="end"/>
    </w:r>
    <w:r>
      <w:tab/>
    </w:r>
    <w:r>
      <w:fldChar w:fldCharType="begin"/>
    </w:r>
    <w:r>
      <w:instrText xml:space="preserve"> PAGE  \* Arabic  \* MERGEFORMAT </w:instrText>
    </w:r>
    <w:r>
      <w:fldChar w:fldCharType="separate"/>
    </w:r>
    <w:r>
      <w:t>10</w:t>
    </w:r>
    <w:r>
      <w:fldChar w:fldCharType="end"/>
    </w:r>
    <w:r>
      <w:rPr>
        <w:b/>
      </w:rPr>
      <w:t>/</w:t>
    </w:r>
    <w:r>
      <w:fldChar w:fldCharType="begin"/>
    </w:r>
    <w:r>
      <w:instrText xml:space="preserve"> NUMPAGES  \* Arabic  \* MERGEFORMAT </w:instrText>
    </w:r>
    <w:r>
      <w:fldChar w:fldCharType="separate"/>
    </w:r>
    <w:r>
      <w:t>10</w:t>
    </w:r>
    <w:r>
      <w:fldChar w:fldCharType="end"/>
    </w:r>
    <w:r>
      <w:tab/>
    </w:r>
    <w:r>
      <w:t>Dali</w:t>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2"/>
      </w:pBdr>
      <w:jc w:val="left"/>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报告书_公共建筑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ascii="微软雅黑" w:hAnsi="微软雅黑" w:eastAsia="微软雅黑"/>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2F4515C8"/>
    <w:multiLevelType w:val="multilevel"/>
    <w:tmpl w:val="2F4515C8"/>
    <w:lvl w:ilvl="0" w:tentative="0">
      <w:start w:val="1"/>
      <w:numFmt w:val="bullet"/>
      <w:lvlText w:val=""/>
      <w:lvlJc w:val="left"/>
      <w:pPr>
        <w:tabs>
          <w:tab w:val="left" w:pos="902"/>
        </w:tabs>
        <w:ind w:left="902"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EC1189A"/>
    <w:multiLevelType w:val="multilevel"/>
    <w:tmpl w:val="4EC1189A"/>
    <w:lvl w:ilvl="0" w:tentative="0">
      <w:start w:val="1"/>
      <w:numFmt w:val="bullet"/>
      <w:lvlText w:val=""/>
      <w:lvlJc w:val="left"/>
      <w:pPr>
        <w:ind w:left="842" w:hanging="420"/>
      </w:pPr>
      <w:rPr>
        <w:rFonts w:hint="default" w:ascii="Wingdings" w:hAnsi="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abstractNum w:abstractNumId="3">
    <w:nsid w:val="71005A1B"/>
    <w:multiLevelType w:val="multilevel"/>
    <w:tmpl w:val="71005A1B"/>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A961FBC"/>
    <w:multiLevelType w:val="multilevel"/>
    <w:tmpl w:val="7A961FB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kMGZkMGRiYjA0ZWZhMzRkZjZjZWM0NTQxMWY5YzkifQ=="/>
  </w:docVars>
  <w:rsids>
    <w:rsidRoot w:val="40583A0C"/>
    <w:rsid w:val="00013E1C"/>
    <w:rsid w:val="00017F4B"/>
    <w:rsid w:val="00022F54"/>
    <w:rsid w:val="00022FE4"/>
    <w:rsid w:val="0003015C"/>
    <w:rsid w:val="0003339E"/>
    <w:rsid w:val="00035337"/>
    <w:rsid w:val="00037A4C"/>
    <w:rsid w:val="00040D6F"/>
    <w:rsid w:val="000413C4"/>
    <w:rsid w:val="00041C2B"/>
    <w:rsid w:val="000431C3"/>
    <w:rsid w:val="00045796"/>
    <w:rsid w:val="00047BEF"/>
    <w:rsid w:val="00047D27"/>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34D9"/>
    <w:rsid w:val="000A6EC1"/>
    <w:rsid w:val="000A6F76"/>
    <w:rsid w:val="000A7482"/>
    <w:rsid w:val="000B2B33"/>
    <w:rsid w:val="000B51D1"/>
    <w:rsid w:val="000B7505"/>
    <w:rsid w:val="000B762E"/>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91705"/>
    <w:rsid w:val="001944E6"/>
    <w:rsid w:val="00195963"/>
    <w:rsid w:val="001A192D"/>
    <w:rsid w:val="001A213A"/>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3082"/>
    <w:rsid w:val="004140D8"/>
    <w:rsid w:val="00417669"/>
    <w:rsid w:val="00417F29"/>
    <w:rsid w:val="00420487"/>
    <w:rsid w:val="00420DBF"/>
    <w:rsid w:val="004217EB"/>
    <w:rsid w:val="0042654D"/>
    <w:rsid w:val="00426C2B"/>
    <w:rsid w:val="0043026A"/>
    <w:rsid w:val="00430DCC"/>
    <w:rsid w:val="004315D3"/>
    <w:rsid w:val="00431AD1"/>
    <w:rsid w:val="00432639"/>
    <w:rsid w:val="00433D62"/>
    <w:rsid w:val="0044029A"/>
    <w:rsid w:val="00442F22"/>
    <w:rsid w:val="0044319F"/>
    <w:rsid w:val="00443779"/>
    <w:rsid w:val="00443A24"/>
    <w:rsid w:val="00444C49"/>
    <w:rsid w:val="00445CE2"/>
    <w:rsid w:val="00455D17"/>
    <w:rsid w:val="0046448B"/>
    <w:rsid w:val="0046741E"/>
    <w:rsid w:val="004732C6"/>
    <w:rsid w:val="0047512A"/>
    <w:rsid w:val="00476C44"/>
    <w:rsid w:val="004839C8"/>
    <w:rsid w:val="00483AB5"/>
    <w:rsid w:val="00486B69"/>
    <w:rsid w:val="00486F6E"/>
    <w:rsid w:val="0048726C"/>
    <w:rsid w:val="00497938"/>
    <w:rsid w:val="004A008B"/>
    <w:rsid w:val="004A39D3"/>
    <w:rsid w:val="004A5301"/>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7C59"/>
    <w:rsid w:val="006E2DB9"/>
    <w:rsid w:val="006E4654"/>
    <w:rsid w:val="006F1E82"/>
    <w:rsid w:val="006F480A"/>
    <w:rsid w:val="006F6958"/>
    <w:rsid w:val="0070016E"/>
    <w:rsid w:val="00700961"/>
    <w:rsid w:val="00704059"/>
    <w:rsid w:val="00716F2C"/>
    <w:rsid w:val="00720044"/>
    <w:rsid w:val="00720CD9"/>
    <w:rsid w:val="00722CF6"/>
    <w:rsid w:val="007250A6"/>
    <w:rsid w:val="00731CB0"/>
    <w:rsid w:val="0074389B"/>
    <w:rsid w:val="00747135"/>
    <w:rsid w:val="0075470D"/>
    <w:rsid w:val="00760461"/>
    <w:rsid w:val="0076205C"/>
    <w:rsid w:val="00767BC9"/>
    <w:rsid w:val="00772EF3"/>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639A"/>
    <w:rsid w:val="00837670"/>
    <w:rsid w:val="00840D90"/>
    <w:rsid w:val="008415B3"/>
    <w:rsid w:val="008439F8"/>
    <w:rsid w:val="00850136"/>
    <w:rsid w:val="008507DF"/>
    <w:rsid w:val="00852997"/>
    <w:rsid w:val="00856268"/>
    <w:rsid w:val="00856B10"/>
    <w:rsid w:val="00860C70"/>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31F9"/>
    <w:rsid w:val="008D35DA"/>
    <w:rsid w:val="008D4BEC"/>
    <w:rsid w:val="008D66A0"/>
    <w:rsid w:val="008D7168"/>
    <w:rsid w:val="008E2AB2"/>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206F"/>
    <w:rsid w:val="00AE6AF2"/>
    <w:rsid w:val="00AF050E"/>
    <w:rsid w:val="00AF0542"/>
    <w:rsid w:val="00AF06AD"/>
    <w:rsid w:val="00AF48DE"/>
    <w:rsid w:val="00AF4AD3"/>
    <w:rsid w:val="00B00FFB"/>
    <w:rsid w:val="00B06BEC"/>
    <w:rsid w:val="00B06C59"/>
    <w:rsid w:val="00B102DE"/>
    <w:rsid w:val="00B11FD8"/>
    <w:rsid w:val="00B3131F"/>
    <w:rsid w:val="00B364B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8032E"/>
    <w:rsid w:val="00C832CC"/>
    <w:rsid w:val="00C851CF"/>
    <w:rsid w:val="00C85350"/>
    <w:rsid w:val="00C855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6917"/>
    <w:rsid w:val="00D022B8"/>
    <w:rsid w:val="00D02D59"/>
    <w:rsid w:val="00D02FD6"/>
    <w:rsid w:val="00D048E8"/>
    <w:rsid w:val="00D05B0B"/>
    <w:rsid w:val="00D062D7"/>
    <w:rsid w:val="00D06954"/>
    <w:rsid w:val="00D11DAD"/>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F05CE9"/>
    <w:rsid w:val="00F0686F"/>
    <w:rsid w:val="00F10B92"/>
    <w:rsid w:val="00F11B75"/>
    <w:rsid w:val="00F13763"/>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 w:val="40583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szCs w:val="18"/>
      <w:lang w:val="en-GB" w:eastAsia="zh-CN" w:bidi="ar-SA"/>
    </w:rPr>
  </w:style>
  <w:style w:type="paragraph" w:styleId="2">
    <w:name w:val="heading 1"/>
    <w:next w:val="3"/>
    <w:link w:val="40"/>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annotation text"/>
    <w:basedOn w:val="1"/>
    <w:link w:val="36"/>
    <w:autoRedefine/>
    <w:qFormat/>
    <w:uiPriority w:val="0"/>
  </w:style>
  <w:style w:type="paragraph" w:styleId="14">
    <w:name w:val="Body Text Indent"/>
    <w:basedOn w:val="1"/>
    <w:link w:val="29"/>
    <w:uiPriority w:val="0"/>
    <w:pPr>
      <w:widowControl w:val="0"/>
      <w:spacing w:line="400" w:lineRule="exact"/>
      <w:ind w:firstLine="480" w:firstLineChars="200"/>
      <w:jc w:val="both"/>
    </w:pPr>
    <w:rPr>
      <w:rFonts w:ascii="宋体" w:hAnsi="宋体"/>
      <w:kern w:val="2"/>
      <w:sz w:val="24"/>
      <w:szCs w:val="24"/>
      <w:lang w:val="en-US"/>
    </w:rPr>
  </w:style>
  <w:style w:type="paragraph" w:styleId="15">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8"/>
    <w:autoRedefine/>
    <w:qFormat/>
    <w:uiPriority w:val="0"/>
  </w:style>
  <w:style w:type="paragraph" w:styleId="17">
    <w:name w:val="footer"/>
    <w:basedOn w:val="1"/>
    <w:link w:val="33"/>
    <w:uiPriority w:val="0"/>
    <w:pPr>
      <w:tabs>
        <w:tab w:val="center" w:pos="4153"/>
        <w:tab w:val="right" w:pos="8306"/>
      </w:tabs>
    </w:pPr>
  </w:style>
  <w:style w:type="paragraph" w:styleId="18">
    <w:name w:val="header"/>
    <w:basedOn w:val="1"/>
    <w:uiPriority w:val="0"/>
    <w:pPr>
      <w:tabs>
        <w:tab w:val="center" w:pos="4153"/>
        <w:tab w:val="right" w:pos="8306"/>
      </w:tabs>
    </w:pPr>
  </w:style>
  <w:style w:type="paragraph" w:styleId="19">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uiPriority w:val="39"/>
    <w:pPr>
      <w:tabs>
        <w:tab w:val="left" w:pos="540"/>
        <w:tab w:val="left" w:pos="840"/>
        <w:tab w:val="right" w:leader="dot" w:pos="9360"/>
      </w:tabs>
      <w:ind w:left="200"/>
    </w:pPr>
    <w:rPr>
      <w:kern w:val="2"/>
      <w:szCs w:val="24"/>
      <w:lang w:val="en-US"/>
    </w:rPr>
  </w:style>
  <w:style w:type="paragraph" w:styleId="21">
    <w:name w:val="annotation subject"/>
    <w:basedOn w:val="13"/>
    <w:next w:val="13"/>
    <w:link w:val="37"/>
    <w:autoRedefine/>
    <w:qFormat/>
    <w:uiPriority w:val="0"/>
    <w:rPr>
      <w:b/>
      <w:bCs/>
    </w:rPr>
  </w:style>
  <w:style w:type="table" w:styleId="23">
    <w:name w:val="Table Grid"/>
    <w:basedOn w:val="22"/>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autoRedefine/>
    <w:qFormat/>
    <w:uiPriority w:val="0"/>
  </w:style>
  <w:style w:type="character" w:styleId="26">
    <w:name w:val="FollowedHyperlink"/>
    <w:autoRedefine/>
    <w:qFormat/>
    <w:uiPriority w:val="0"/>
    <w:rPr>
      <w:color w:val="800080"/>
      <w:u w:val="single"/>
    </w:rPr>
  </w:style>
  <w:style w:type="character" w:styleId="27">
    <w:name w:val="Hyperlink"/>
    <w:uiPriority w:val="99"/>
    <w:rPr>
      <w:color w:val="0000FF"/>
      <w:u w:val="single"/>
    </w:rPr>
  </w:style>
  <w:style w:type="character" w:styleId="28">
    <w:name w:val="annotation reference"/>
    <w:autoRedefine/>
    <w:qFormat/>
    <w:uiPriority w:val="0"/>
    <w:rPr>
      <w:sz w:val="21"/>
      <w:szCs w:val="21"/>
    </w:rPr>
  </w:style>
  <w:style w:type="character" w:customStyle="1" w:styleId="29">
    <w:name w:val="正文文本缩进 字符"/>
    <w:link w:val="14"/>
    <w:uiPriority w:val="0"/>
    <w:rPr>
      <w:rFonts w:ascii="宋体" w:hAnsi="宋体" w:eastAsia="宋体"/>
      <w:kern w:val="2"/>
      <w:sz w:val="24"/>
      <w:szCs w:val="24"/>
      <w:lang w:val="en-US" w:eastAsia="zh-CN" w:bidi="ar-SA"/>
    </w:rPr>
  </w:style>
  <w:style w:type="paragraph" w:customStyle="1" w:styleId="30">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1">
    <w:name w:val="Char Char2"/>
    <w:locked/>
    <w:uiPriority w:val="0"/>
    <w:rPr>
      <w:rFonts w:ascii="宋体" w:hAnsi="宋体" w:eastAsia="宋体"/>
      <w:kern w:val="2"/>
      <w:sz w:val="24"/>
      <w:szCs w:val="24"/>
      <w:lang w:val="en-US" w:eastAsia="zh-CN" w:bidi="ar-SA"/>
    </w:rPr>
  </w:style>
  <w:style w:type="character" w:customStyle="1" w:styleId="32">
    <w:name w:val="Char Char21"/>
    <w:uiPriority w:val="0"/>
    <w:rPr>
      <w:rFonts w:ascii="宋体" w:hAnsi="宋体" w:eastAsia="宋体" w:cs="Times New Roman"/>
      <w:sz w:val="24"/>
      <w:szCs w:val="24"/>
    </w:rPr>
  </w:style>
  <w:style w:type="character" w:customStyle="1" w:styleId="33">
    <w:name w:val="页脚 字符"/>
    <w:link w:val="17"/>
    <w:uiPriority w:val="0"/>
    <w:rPr>
      <w:rFonts w:eastAsia="宋体"/>
      <w:sz w:val="18"/>
      <w:szCs w:val="18"/>
      <w:lang w:val="en-GB" w:eastAsia="zh-CN" w:bidi="ar-SA"/>
    </w:rPr>
  </w:style>
  <w:style w:type="character" w:customStyle="1" w:styleId="34">
    <w:name w:val="Char Char1"/>
    <w:autoRedefine/>
    <w:qFormat/>
    <w:uiPriority w:val="0"/>
    <w:rPr>
      <w:rFonts w:ascii="宋体" w:hAnsi="宋体" w:eastAsia="宋体"/>
      <w:kern w:val="2"/>
      <w:sz w:val="24"/>
      <w:szCs w:val="24"/>
      <w:lang w:val="en-US" w:eastAsia="zh-CN" w:bidi="ar-SA"/>
    </w:rPr>
  </w:style>
  <w:style w:type="character" w:customStyle="1" w:styleId="35">
    <w:name w:val="Char Char"/>
    <w:autoRedefine/>
    <w:qFormat/>
    <w:locked/>
    <w:uiPriority w:val="0"/>
    <w:rPr>
      <w:rFonts w:ascii="宋体" w:hAnsi="宋体" w:eastAsia="宋体"/>
      <w:kern w:val="2"/>
      <w:sz w:val="24"/>
      <w:szCs w:val="24"/>
      <w:lang w:val="en-US" w:eastAsia="zh-CN" w:bidi="ar-SA"/>
    </w:rPr>
  </w:style>
  <w:style w:type="character" w:customStyle="1" w:styleId="36">
    <w:name w:val="批注文字 字符"/>
    <w:link w:val="13"/>
    <w:autoRedefine/>
    <w:qFormat/>
    <w:uiPriority w:val="0"/>
    <w:rPr>
      <w:sz w:val="18"/>
      <w:lang w:val="en-GB"/>
    </w:rPr>
  </w:style>
  <w:style w:type="character" w:customStyle="1" w:styleId="37">
    <w:name w:val="批注主题 字符"/>
    <w:link w:val="21"/>
    <w:autoRedefine/>
    <w:qFormat/>
    <w:uiPriority w:val="0"/>
    <w:rPr>
      <w:b/>
      <w:bCs/>
      <w:sz w:val="18"/>
      <w:lang w:val="en-GB"/>
    </w:rPr>
  </w:style>
  <w:style w:type="character" w:customStyle="1" w:styleId="38">
    <w:name w:val="批注框文本 字符"/>
    <w:link w:val="16"/>
    <w:autoRedefine/>
    <w:qFormat/>
    <w:uiPriority w:val="0"/>
    <w:rPr>
      <w:sz w:val="18"/>
      <w:szCs w:val="18"/>
      <w:lang w:val="en-GB"/>
    </w:rPr>
  </w:style>
  <w:style w:type="paragraph" w:styleId="39">
    <w:name w:val="List Paragraph"/>
    <w:basedOn w:val="1"/>
    <w:autoRedefine/>
    <w:qFormat/>
    <w:uiPriority w:val="34"/>
    <w:pPr>
      <w:ind w:firstLine="420" w:firstLineChars="200"/>
    </w:pPr>
  </w:style>
  <w:style w:type="character" w:customStyle="1" w:styleId="40">
    <w:name w:val="标题 1 字符"/>
    <w:basedOn w:val="24"/>
    <w:link w:val="2"/>
    <w:autoRedefine/>
    <w:qFormat/>
    <w:uiPriority w:val="0"/>
    <w:rPr>
      <w:rFonts w:eastAsia="微软雅黑"/>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bird\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4DA04-A48C-4561-9042-8652244E5116}">
  <ds:schemaRefs/>
</ds:datastoreItem>
</file>

<file path=docProps/app.xml><?xml version="1.0" encoding="utf-8"?>
<Properties xmlns="http://schemas.openxmlformats.org/officeDocument/2006/extended-properties" xmlns:vt="http://schemas.openxmlformats.org/officeDocument/2006/docPropsVTypes">
  <Template>tmp9.dotx</Template>
  <Pages>8</Pages>
  <Words>3661</Words>
  <Characters>4445</Characters>
  <Lines>50</Lines>
  <Paragraphs>14</Paragraphs>
  <TotalTime>0</TotalTime>
  <ScaleCrop>false</ScaleCrop>
  <LinksUpToDate>false</LinksUpToDate>
  <CharactersWithSpaces>4555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2024-02-20T15:57:00Z</dcterms:created>
  <dc:creator>RBbird.</dc:creator>
  <cp:lastModifiedBy>RBbird.</cp:lastModifiedBy>
  <dcterms:modified xsi:type="dcterms:W3CDTF">2024-02-20T15:58:10Z</dcterms:modified>
  <dc:title>公共建筑采光达标率计算书</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93813A7BD2174DBA910CBACF85163192_11</vt:lpwstr>
  </property>
  <property fmtid="{D5CDD505-2E9C-101B-9397-08002B2CF9AE}" pid="3" name="KSOProductBuildVer">
    <vt:lpwstr>2052-12.1.0.16250</vt:lpwstr>
  </property>
</Properties>
</file>