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2024年2月21日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T15862176512</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97" w:name="_GoBack"/>
      <w:bookmarkStart w:id="10" w:name="目录"/>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_Toc15296 </w:instrText>
      </w:r>
      <w:r>
        <w:rPr>
          <w:szCs w:val="28"/>
        </w:rPr>
        <w:fldChar w:fldCharType="separate"/>
      </w:r>
      <w:r>
        <w:rPr>
          <w:rFonts w:hint="eastAsia"/>
        </w:rPr>
        <w:t>1. 建筑概况</w:t>
      </w:r>
      <w:r>
        <w:tab/>
      </w:r>
      <w:r>
        <w:fldChar w:fldCharType="begin"/>
      </w:r>
      <w:r>
        <w:instrText xml:space="preserve"> PAGEREF _Toc15296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_Toc23119 </w:instrText>
      </w:r>
      <w:r>
        <w:rPr>
          <w:szCs w:val="28"/>
        </w:rPr>
        <w:fldChar w:fldCharType="separate"/>
      </w:r>
      <w:r>
        <w:rPr>
          <w:rFonts w:hint="eastAsia"/>
        </w:rPr>
        <w:t>2. 计算</w:t>
      </w:r>
      <w:r>
        <w:t>目的</w:t>
      </w:r>
      <w:r>
        <w:tab/>
      </w:r>
      <w:r>
        <w:fldChar w:fldCharType="begin"/>
      </w:r>
      <w:r>
        <w:instrText xml:space="preserve"> PAGEREF _Toc23119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_Toc11995 </w:instrText>
      </w:r>
      <w:r>
        <w:rPr>
          <w:szCs w:val="28"/>
        </w:rPr>
        <w:fldChar w:fldCharType="separate"/>
      </w:r>
      <w:r>
        <w:rPr>
          <w:rFonts w:hint="eastAsia"/>
        </w:rPr>
        <w:t>3. 分析依据</w:t>
      </w:r>
      <w:r>
        <w:tab/>
      </w:r>
      <w:r>
        <w:fldChar w:fldCharType="begin"/>
      </w:r>
      <w:r>
        <w:instrText xml:space="preserve"> PAGEREF _Toc11995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_Toc11517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_Toc11517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_Toc23028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_Toc23028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_Toc19692 </w:instrText>
      </w:r>
      <w:r>
        <w:rPr>
          <w:szCs w:val="28"/>
        </w:rPr>
        <w:fldChar w:fldCharType="separate"/>
      </w:r>
      <w:r>
        <w:rPr>
          <w:rFonts w:hint="eastAsia"/>
        </w:rPr>
        <w:t>4. 采光分析</w:t>
      </w:r>
      <w:r>
        <w:t>概述</w:t>
      </w:r>
      <w:r>
        <w:tab/>
      </w:r>
      <w:r>
        <w:fldChar w:fldCharType="begin"/>
      </w:r>
      <w:r>
        <w:instrText xml:space="preserve"> PAGEREF _Toc19692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_Toc30361 </w:instrText>
      </w:r>
      <w:r>
        <w:rPr>
          <w:szCs w:val="28"/>
        </w:rPr>
        <w:fldChar w:fldCharType="separate"/>
      </w:r>
      <w:r>
        <w:rPr>
          <w:rFonts w:hint="eastAsia" w:ascii="微软雅黑" w:hAnsi="微软雅黑" w:eastAsia="微软雅黑"/>
          <w:lang w:val="en-GB"/>
        </w:rPr>
        <w:t xml:space="preserve">4.1 </w:t>
      </w:r>
      <w:r>
        <w:rPr>
          <w:rFonts w:hint="eastAsia"/>
        </w:rPr>
        <w:t>基本原理</w:t>
      </w:r>
      <w:r>
        <w:tab/>
      </w:r>
      <w:r>
        <w:fldChar w:fldCharType="begin"/>
      </w:r>
      <w:r>
        <w:instrText xml:space="preserve"> PAGEREF _Toc30361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_Toc24899 </w:instrText>
      </w:r>
      <w:r>
        <w:rPr>
          <w:szCs w:val="28"/>
        </w:rPr>
        <w:fldChar w:fldCharType="separate"/>
      </w:r>
      <w:r>
        <w:rPr>
          <w:rFonts w:hint="eastAsia" w:ascii="微软雅黑" w:hAnsi="微软雅黑" w:eastAsia="微软雅黑"/>
          <w:lang w:val="en-GB"/>
        </w:rPr>
        <w:t xml:space="preserve">4.2 </w:t>
      </w:r>
      <w:r>
        <w:rPr>
          <w:rFonts w:hint="eastAsia"/>
        </w:rPr>
        <w:t>计算方法</w:t>
      </w:r>
      <w:r>
        <w:tab/>
      </w:r>
      <w:r>
        <w:fldChar w:fldCharType="begin"/>
      </w:r>
      <w:r>
        <w:instrText xml:space="preserve"> PAGEREF _Toc24899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_Toc23524 </w:instrText>
      </w:r>
      <w:r>
        <w:rPr>
          <w:szCs w:val="28"/>
        </w:rPr>
        <w:fldChar w:fldCharType="separate"/>
      </w:r>
      <w:r>
        <w:rPr>
          <w:rFonts w:hint="eastAsia" w:ascii="微软雅黑" w:hAnsi="微软雅黑" w:eastAsia="微软雅黑"/>
          <w:lang w:val="en-GB"/>
        </w:rPr>
        <w:t xml:space="preserve">4.3 </w:t>
      </w:r>
      <w:r>
        <w:t>软件</w:t>
      </w:r>
      <w:r>
        <w:rPr>
          <w:rFonts w:hint="eastAsia"/>
        </w:rPr>
        <w:t>选用</w:t>
      </w:r>
      <w:r>
        <w:tab/>
      </w:r>
      <w:r>
        <w:fldChar w:fldCharType="begin"/>
      </w:r>
      <w:r>
        <w:instrText xml:space="preserve"> PAGEREF _Toc23524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_Toc10007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_Toc10007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_Toc4970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_Toc4970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_Toc23246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_Toc23246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_Toc18788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_Toc18788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_Toc7845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_Toc7845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_Toc16713 </w:instrText>
      </w:r>
      <w:r>
        <w:rPr>
          <w:szCs w:val="28"/>
        </w:rPr>
        <w:fldChar w:fldCharType="separate"/>
      </w:r>
      <w:r>
        <w:rPr>
          <w:rFonts w:hint="eastAsia" w:ascii="微软雅黑" w:hAnsi="微软雅黑" w:eastAsia="微软雅黑"/>
          <w:szCs w:val="24"/>
          <w:lang w:val="en-GB"/>
        </w:rPr>
        <w:t xml:space="preserve">5.3.2 </w:t>
      </w:r>
      <w:r>
        <w:rPr>
          <w:rFonts w:hint="eastAsia"/>
        </w:rPr>
        <w:t>天 窗</w:t>
      </w:r>
      <w:r>
        <w:tab/>
      </w:r>
      <w:r>
        <w:fldChar w:fldCharType="begin"/>
      </w:r>
      <w:r>
        <w:instrText xml:space="preserve"> PAGEREF _Toc16713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_Toc8660 </w:instrText>
      </w:r>
      <w:r>
        <w:rPr>
          <w:szCs w:val="28"/>
        </w:rPr>
        <w:fldChar w:fldCharType="separate"/>
      </w:r>
      <w:r>
        <w:rPr>
          <w:rFonts w:hint="eastAsia"/>
        </w:rPr>
        <w:t>6. 动态采光达标统计</w:t>
      </w:r>
      <w:r>
        <w:tab/>
      </w:r>
      <w:r>
        <w:fldChar w:fldCharType="begin"/>
      </w:r>
      <w:r>
        <w:instrText xml:space="preserve"> PAGEREF _Toc8660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_Toc22462 </w:instrText>
      </w:r>
      <w:r>
        <w:rPr>
          <w:szCs w:val="28"/>
        </w:rPr>
        <w:fldChar w:fldCharType="separate"/>
      </w:r>
      <w:r>
        <w:rPr>
          <w:rFonts w:hint="eastAsia"/>
        </w:rPr>
        <w:t>7. 动态采光统计图</w:t>
      </w:r>
      <w:r>
        <w:tab/>
      </w:r>
      <w:r>
        <w:fldChar w:fldCharType="begin"/>
      </w:r>
      <w:r>
        <w:instrText xml:space="preserve"> PAGEREF _Toc22462 \h </w:instrText>
      </w:r>
      <w:r>
        <w:fldChar w:fldCharType="separate"/>
      </w:r>
      <w:r>
        <w:t>8</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_Toc23698 </w:instrText>
      </w:r>
      <w:r>
        <w:rPr>
          <w:szCs w:val="28"/>
        </w:rPr>
        <w:fldChar w:fldCharType="separate"/>
      </w:r>
      <w:r>
        <w:rPr>
          <w:rFonts w:hint="eastAsia"/>
        </w:rPr>
        <w:t>8. 评价结论</w:t>
      </w:r>
      <w:r>
        <w:tab/>
      </w:r>
      <w:r>
        <w:fldChar w:fldCharType="begin"/>
      </w:r>
      <w:r>
        <w:instrText xml:space="preserve"> PAGEREF _Toc23698 \h </w:instrText>
      </w:r>
      <w:r>
        <w:fldChar w:fldCharType="separate"/>
      </w:r>
      <w:r>
        <w:t>9</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bookmarkEnd w:id="97"/>
    </w:p>
    <w:p>
      <w:pPr>
        <w:pStyle w:val="2"/>
        <w:ind w:left="432" w:hanging="432"/>
      </w:pPr>
      <w:r>
        <w:rPr>
          <w:szCs w:val="21"/>
        </w:rPr>
        <w:tab/>
      </w:r>
      <w:bookmarkStart w:id="11" w:name="_Toc512608176"/>
      <w:bookmarkStart w:id="12" w:name="_Toc15296"/>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普洱</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II</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0.90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1238.67</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3</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16.00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p>
    <w:p>
      <w:pPr>
        <w:pStyle w:val="3"/>
        <w:jc w:val="center"/>
        <w:rPr>
          <w:lang w:val="en-US"/>
        </w:rPr>
      </w:pPr>
    </w:p>
    <w:p>
      <w:pPr>
        <w:pStyle w:val="2"/>
        <w:ind w:left="432" w:hanging="432"/>
      </w:pPr>
      <w:bookmarkStart w:id="23" w:name="_Toc512608178"/>
      <w:bookmarkStart w:id="24" w:name="_Toc23119"/>
      <w:r>
        <w:rPr>
          <w:rFonts w:hint="eastAsia"/>
        </w:rPr>
        <w:t>计算</w:t>
      </w:r>
      <w:r>
        <w:t>目的</w:t>
      </w:r>
      <w:bookmarkEnd w:id="23"/>
      <w:bookmarkEnd w:id="24"/>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512608177"/>
      <w:bookmarkStart w:id="26" w:name="_Toc11995"/>
      <w:r>
        <w:rPr>
          <w:rFonts w:hint="eastAsia"/>
        </w:rPr>
        <w:t>分析依据</w:t>
      </w:r>
      <w:bookmarkEnd w:id="25"/>
      <w:bookmarkEnd w:id="26"/>
    </w:p>
    <w:p>
      <w:pPr>
        <w:pStyle w:val="4"/>
      </w:pPr>
      <w:bookmarkStart w:id="27" w:name="_Toc11517"/>
      <w:r>
        <w:rPr>
          <w:rFonts w:hint="eastAsia"/>
        </w:rPr>
        <w:t>标准依据</w:t>
      </w:r>
      <w:bookmarkEnd w:id="27"/>
    </w:p>
    <w:p>
      <w:pPr>
        <w:pStyle w:val="3"/>
        <w:numPr>
          <w:ilvl w:val="0"/>
          <w:numId w:val="2"/>
        </w:numPr>
        <w:rPr>
          <w:lang w:val="en-US"/>
        </w:rPr>
      </w:pPr>
      <w:bookmarkStart w:id="28"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9" w:name="_Toc23028"/>
      <w:r>
        <w:rPr>
          <w:rFonts w:hint="eastAsia"/>
        </w:rPr>
        <w:t>标准要求</w:t>
      </w:r>
      <w:bookmarkEnd w:id="28"/>
      <w:bookmarkEnd w:id="29"/>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r>
        <w:rPr>
          <w:rFonts w:hint="eastAsia"/>
          <w:b/>
          <w:lang w:val="en-US"/>
        </w:rPr>
        <w:t>《绿色建筑评价标准》GB/T 50378-2019</w:t>
      </w:r>
      <w:r>
        <w:rPr>
          <w:b/>
          <w:lang w:val="en-US"/>
        </w:rPr>
        <w:t xml:space="preserve">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展览建筑</w:t>
      </w:r>
      <w:bookmarkEnd w:id="30"/>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firstLine="420"/>
        <w:rPr>
          <w:rFonts w:ascii="微软雅黑" w:hAnsi="微软雅黑"/>
          <w:sz w:val="21"/>
          <w:szCs w:val="21"/>
        </w:rPr>
      </w:pPr>
      <w:bookmarkStart w:id="31" w:name="条文描述_展览建筑"/>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48"/>
        <w:gridCol w:w="1332"/>
        <w:gridCol w:w="1333"/>
        <w:gridCol w:w="1332"/>
        <w:gridCol w:w="13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48"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65"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65"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48"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656"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4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33"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1"/>
    </w:tbl>
    <w:p>
      <w:pPr>
        <w:pStyle w:val="39"/>
        <w:ind w:left="840" w:firstLine="0" w:firstLineChars="0"/>
        <w:rPr>
          <w:sz w:val="24"/>
          <w:lang w:val="en-US"/>
        </w:rPr>
      </w:pPr>
      <w:bookmarkStart w:id="32" w:name="_Toc290149054"/>
      <w:bookmarkStart w:id="33" w:name="_Toc264569232"/>
      <w:bookmarkStart w:id="34" w:name="_Toc275165382"/>
      <w:bookmarkStart w:id="35" w:name="_Toc290209336"/>
      <w:bookmarkStart w:id="36" w:name="_Toc512608180"/>
      <w:bookmarkStart w:id="37" w:name="_Toc290209312"/>
      <w:bookmarkStart w:id="38" w:name="_Toc264043625"/>
      <w:bookmarkStart w:id="39" w:name="_Toc312399791"/>
    </w:p>
    <w:p>
      <w:pPr>
        <w:pStyle w:val="39"/>
        <w:numPr>
          <w:ilvl w:val="0"/>
          <w:numId w:val="4"/>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40" w:name="_Toc19692"/>
      <w:r>
        <w:rPr>
          <w:rFonts w:hint="eastAsia"/>
        </w:rPr>
        <w:t>采光分析</w:t>
      </w:r>
      <w:r>
        <w:t>概述</w:t>
      </w:r>
      <w:bookmarkEnd w:id="32"/>
      <w:bookmarkEnd w:id="33"/>
      <w:bookmarkEnd w:id="34"/>
      <w:bookmarkEnd w:id="35"/>
      <w:bookmarkEnd w:id="36"/>
      <w:bookmarkEnd w:id="37"/>
      <w:bookmarkEnd w:id="38"/>
      <w:bookmarkEnd w:id="39"/>
      <w:bookmarkEnd w:id="40"/>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41" w:name="_Toc512608181"/>
      <w:bookmarkStart w:id="42" w:name="_Toc30361"/>
      <w:r>
        <w:rPr>
          <w:rFonts w:hint="eastAsia"/>
        </w:rPr>
        <w:t>基本原理</w:t>
      </w:r>
      <w:bookmarkEnd w:id="41"/>
      <w:bookmarkEnd w:id="42"/>
    </w:p>
    <w:p>
      <w:pPr>
        <w:pStyle w:val="14"/>
        <w:numPr>
          <w:ilvl w:val="0"/>
          <w:numId w:val="5"/>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43" w:name="_Toc264569237"/>
      <w:bookmarkStart w:id="44" w:name="_Toc290209317"/>
      <w:bookmarkStart w:id="45" w:name="_Toc264043630"/>
      <w:bookmarkStart w:id="46" w:name="_Toc275165387"/>
      <w:bookmarkStart w:id="47" w:name="_Toc290149059"/>
      <w:bookmarkStart w:id="48" w:name="_Toc312399796"/>
      <w:bookmarkStart w:id="49" w:name="_Toc290209341"/>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3"/>
    <w:bookmarkEnd w:id="44"/>
    <w:bookmarkEnd w:id="45"/>
    <w:bookmarkEnd w:id="46"/>
    <w:bookmarkEnd w:id="47"/>
    <w:bookmarkEnd w:id="48"/>
    <w:bookmarkEnd w:id="49"/>
    <w:p>
      <w:pPr>
        <w:pStyle w:val="4"/>
        <w:tabs>
          <w:tab w:val="left" w:pos="862"/>
          <w:tab w:val="clear" w:pos="578"/>
        </w:tabs>
        <w:ind w:left="862"/>
      </w:pPr>
      <w:bookmarkStart w:id="50" w:name="_Toc24899"/>
      <w:r>
        <w:rPr>
          <w:rFonts w:hint="eastAsia"/>
        </w:rPr>
        <w:t>计算方法</w:t>
      </w:r>
      <w:bookmarkEnd w:id="50"/>
    </w:p>
    <w:p>
      <w:pPr>
        <w:pStyle w:val="3"/>
        <w:ind w:left="360" w:leftChars="200"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51" w:name="_Toc23524"/>
      <w:r>
        <w:t>软件</w:t>
      </w:r>
      <w:r>
        <w:rPr>
          <w:rFonts w:hint="eastAsia"/>
        </w:rPr>
        <w:t>选用</w:t>
      </w:r>
      <w:bookmarkEnd w:id="51"/>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2" w:name="_Toc512608187"/>
      <w:bookmarkStart w:id="53" w:name="_Toc10007"/>
      <w:r>
        <w:rPr>
          <w:rFonts w:hint="eastAsia"/>
        </w:rPr>
        <w:t>采光计算</w:t>
      </w:r>
      <w:r>
        <w:t>参数</w:t>
      </w:r>
      <w:r>
        <w:rPr>
          <w:rFonts w:hint="eastAsia"/>
        </w:rPr>
        <w:t>取值</w:t>
      </w:r>
      <w:bookmarkEnd w:id="52"/>
      <w:bookmarkEnd w:id="53"/>
    </w:p>
    <w:p>
      <w:pPr>
        <w:pStyle w:val="4"/>
      </w:pPr>
      <w:bookmarkStart w:id="54" w:name="_Toc264569236"/>
      <w:bookmarkStart w:id="55" w:name="_Toc290209340"/>
      <w:bookmarkStart w:id="56" w:name="_Toc290209316"/>
      <w:bookmarkStart w:id="57" w:name="_Toc275165386"/>
      <w:bookmarkStart w:id="58" w:name="_Toc290149058"/>
      <w:bookmarkStart w:id="59" w:name="_Toc264043629"/>
      <w:bookmarkStart w:id="60" w:name="_Toc312399795"/>
      <w:bookmarkStart w:id="61" w:name="_Toc512608188"/>
      <w:bookmarkStart w:id="62" w:name="_Toc4970"/>
      <w:r>
        <w:t>模拟</w:t>
      </w:r>
      <w:bookmarkEnd w:id="54"/>
      <w:bookmarkEnd w:id="55"/>
      <w:bookmarkEnd w:id="56"/>
      <w:bookmarkEnd w:id="57"/>
      <w:bookmarkEnd w:id="58"/>
      <w:bookmarkEnd w:id="59"/>
      <w:bookmarkEnd w:id="60"/>
      <w:r>
        <w:rPr>
          <w:rFonts w:hint="eastAsia"/>
        </w:rPr>
        <w:t>分析条件说明</w:t>
      </w:r>
      <w:bookmarkEnd w:id="61"/>
      <w:bookmarkEnd w:id="62"/>
    </w:p>
    <w:p>
      <w:pPr>
        <w:pStyle w:val="3"/>
        <w:rPr>
          <w:rFonts w:ascii="宋体" w:hAnsi="宋体"/>
          <w:b/>
          <w:lang w:val="en-US"/>
        </w:rPr>
      </w:pPr>
      <w:r>
        <w:rPr>
          <w:rFonts w:hint="eastAsia" w:ascii="宋体" w:hAnsi="宋体"/>
          <w:b/>
          <w:lang w:val="en-US"/>
        </w:rPr>
        <w:t>光气候数据来源：</w:t>
      </w:r>
      <w:bookmarkStart w:id="63" w:name="气象数据"/>
      <w:r>
        <w:rPr>
          <w:rFonts w:hint="eastAsia"/>
          <w:lang w:val="en-US"/>
        </w:rPr>
        <w:t>《中国建筑热环境分析专用气象数据集》</w:t>
      </w:r>
      <w:bookmarkEnd w:id="63"/>
    </w:p>
    <w:p>
      <w:pPr>
        <w:pStyle w:val="3"/>
      </w:pPr>
      <w:r>
        <w:rPr>
          <w:rFonts w:hint="eastAsia"/>
          <w:b/>
        </w:rPr>
        <w:t>计算</w:t>
      </w:r>
      <w:r>
        <w:rPr>
          <w:b/>
        </w:rPr>
        <w:t>光线反射次数</w:t>
      </w:r>
      <w:r>
        <w:t>：</w:t>
      </w:r>
      <w:bookmarkStart w:id="64" w:name="光线反射次数"/>
      <w:r>
        <w:rPr>
          <w:rFonts w:hint="eastAsia"/>
        </w:rPr>
        <w:t>3</w:t>
      </w:r>
      <w:bookmarkEnd w:id="64"/>
      <w:r>
        <w:rPr>
          <w:rFonts w:hint="eastAsia"/>
        </w:rPr>
        <w:t>次；</w:t>
      </w:r>
    </w:p>
    <w:p>
      <w:pPr>
        <w:pStyle w:val="3"/>
      </w:pPr>
      <w:r>
        <w:rPr>
          <w:rFonts w:hint="eastAsia"/>
          <w:b/>
        </w:rPr>
        <w:t>分析参考平面</w:t>
      </w:r>
      <w:r>
        <w:rPr>
          <w:rFonts w:hint="eastAsia"/>
        </w:rPr>
        <w:t>：功能房间取距地面</w:t>
      </w:r>
      <w:bookmarkStart w:id="65" w:name="分析面高"/>
      <w:r>
        <w:rPr>
          <w:rFonts w:hint="eastAsia"/>
        </w:rPr>
        <w:t>0.75</w:t>
      </w:r>
      <w:bookmarkEnd w:id="65"/>
      <w:r>
        <w:rPr>
          <w:rFonts w:hint="eastAsia"/>
        </w:rPr>
        <w:t>米；</w:t>
      </w:r>
    </w:p>
    <w:p>
      <w:pPr>
        <w:pStyle w:val="3"/>
      </w:pPr>
      <w:bookmarkStart w:id="66"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7" w:name="网格划分小房间面积"/>
            <w:r>
              <w:rPr>
                <w:rFonts w:hint="eastAsia"/>
              </w:rPr>
              <w:t>10</w:t>
            </w:r>
            <w:bookmarkEnd w:id="67"/>
          </w:p>
        </w:tc>
        <w:tc>
          <w:tcPr>
            <w:tcW w:w="3272" w:type="dxa"/>
            <w:shd w:val="clear" w:color="auto" w:fill="auto"/>
            <w:vAlign w:val="center"/>
          </w:tcPr>
          <w:p>
            <w:bookmarkStart w:id="68" w:name="小房间网格大小"/>
            <w:r>
              <w:rPr>
                <w:rFonts w:hint="eastAsia"/>
              </w:rPr>
              <w:t>0.25</w:t>
            </w:r>
            <w:bookmarkEnd w:id="6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9" w:name="网格划分房间面积"/>
            <w:r>
              <w:rPr>
                <w:rFonts w:hint="eastAsia"/>
              </w:rPr>
              <w:t>10~100</w:t>
            </w:r>
            <w:bookmarkEnd w:id="69"/>
          </w:p>
        </w:tc>
        <w:tc>
          <w:tcPr>
            <w:tcW w:w="3272" w:type="dxa"/>
            <w:shd w:val="clear" w:color="auto" w:fill="auto"/>
            <w:vAlign w:val="center"/>
          </w:tcPr>
          <w:p>
            <w:bookmarkStart w:id="70" w:name="网格大小"/>
            <w:r>
              <w:rPr>
                <w:rFonts w:hint="eastAsia"/>
              </w:rPr>
              <w:t>0.50</w:t>
            </w:r>
            <w:bookmarkEnd w:id="7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1" w:name="网格划分大房间面积"/>
            <w:r>
              <w:rPr>
                <w:rFonts w:hint="eastAsia"/>
              </w:rPr>
              <w:t>100</w:t>
            </w:r>
            <w:bookmarkEnd w:id="71"/>
          </w:p>
        </w:tc>
        <w:tc>
          <w:tcPr>
            <w:tcW w:w="3272" w:type="dxa"/>
            <w:shd w:val="clear" w:color="auto" w:fill="auto"/>
            <w:vAlign w:val="center"/>
          </w:tcPr>
          <w:p>
            <w:bookmarkStart w:id="72" w:name="大房间网格大小"/>
            <w:r>
              <w:rPr>
                <w:rFonts w:hint="eastAsia"/>
              </w:rPr>
              <w:t>1.00</w:t>
            </w:r>
            <w:bookmarkEnd w:id="72"/>
          </w:p>
        </w:tc>
      </w:tr>
    </w:tbl>
    <w:p>
      <w:pPr>
        <w:pStyle w:val="3"/>
      </w:pPr>
      <w:r>
        <w:rPr>
          <w:rFonts w:hint="eastAsia"/>
          <w:b/>
        </w:rPr>
        <w:t>周边环境：</w:t>
      </w:r>
      <w:r>
        <w:rPr>
          <w:rFonts w:hint="eastAsia"/>
        </w:rPr>
        <w:t>考虑分析区内的建筑物之间遮挡；</w:t>
      </w:r>
    </w:p>
    <w:p>
      <w:pPr>
        <w:pStyle w:val="4"/>
      </w:pPr>
      <w:bookmarkStart w:id="73" w:name="_Toc23246"/>
      <w:r>
        <w:rPr>
          <w:rFonts w:hint="eastAsia"/>
        </w:rPr>
        <w:t>建筑饰面材料参数</w:t>
      </w:r>
      <w:bookmarkEnd w:id="66"/>
      <w:bookmarkEnd w:id="73"/>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74" w:name="顶棚反射比"/>
            <w:r>
              <w:rPr>
                <w:rFonts w:hint="eastAsia"/>
              </w:rPr>
              <w:t>0.75</w:t>
            </w:r>
            <w:bookmarkEnd w:id="74"/>
          </w:p>
        </w:tc>
        <w:tc>
          <w:tcPr>
            <w:tcW w:w="1661" w:type="dxa"/>
            <w:tcBorders>
              <w:top w:val="single" w:color="auto" w:sz="4" w:space="0"/>
            </w:tcBorders>
            <w:vAlign w:val="center"/>
          </w:tcPr>
          <w:p>
            <w:bookmarkStart w:id="75" w:name="地面反射比"/>
            <w:r>
              <w:rPr>
                <w:rFonts w:hint="eastAsia"/>
              </w:rPr>
              <w:t>0.30</w:t>
            </w:r>
            <w:bookmarkEnd w:id="75"/>
          </w:p>
        </w:tc>
        <w:tc>
          <w:tcPr>
            <w:tcW w:w="1661" w:type="dxa"/>
            <w:tcBorders>
              <w:top w:val="single" w:color="auto" w:sz="4" w:space="0"/>
            </w:tcBorders>
            <w:vAlign w:val="center"/>
          </w:tcPr>
          <w:p>
            <w:bookmarkStart w:id="76" w:name="墙面反射比"/>
            <w:r>
              <w:rPr>
                <w:rFonts w:hint="eastAsia"/>
              </w:rPr>
              <w:t>0.60</w:t>
            </w:r>
            <w:bookmarkEnd w:id="76"/>
          </w:p>
        </w:tc>
        <w:tc>
          <w:tcPr>
            <w:tcW w:w="1662" w:type="dxa"/>
            <w:tcBorders>
              <w:top w:val="single" w:color="auto" w:sz="4" w:space="0"/>
            </w:tcBorders>
            <w:vAlign w:val="center"/>
          </w:tcPr>
          <w:p>
            <w:bookmarkStart w:id="77" w:name="外表面反射比"/>
            <w:r>
              <w:rPr>
                <w:rFonts w:hint="eastAsia"/>
              </w:rPr>
              <w:t>0.50</w:t>
            </w:r>
            <w:bookmarkEnd w:id="77"/>
          </w:p>
        </w:tc>
      </w:tr>
    </w:tbl>
    <w:p>
      <w:pPr>
        <w:pStyle w:val="14"/>
        <w:spacing w:line="360" w:lineRule="auto"/>
        <w:ind w:firstLine="360"/>
        <w:rPr>
          <w:rFonts w:ascii="Times New Roman" w:hAnsi="Times New Roman"/>
          <w:sz w:val="18"/>
          <w:szCs w:val="18"/>
        </w:rPr>
      </w:pPr>
    </w:p>
    <w:p>
      <w:pPr>
        <w:pStyle w:val="4"/>
      </w:pPr>
      <w:bookmarkStart w:id="78" w:name="_Toc18788"/>
      <w:r>
        <w:rPr>
          <w:rFonts w:hint="eastAsia"/>
        </w:rPr>
        <w:t>门窗类型参数</w:t>
      </w:r>
      <w:bookmarkEnd w:id="78"/>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9" w:name="_Toc7845"/>
      <w:bookmarkStart w:id="80" w:name="窗"/>
      <w:r>
        <w:t>普通</w:t>
      </w:r>
      <w:r>
        <w:rPr>
          <w:rFonts w:hint="eastAsia"/>
        </w:rPr>
        <w:t>窗</w:t>
      </w:r>
      <w:bookmarkEnd w:id="79"/>
    </w:p>
    <w:bookmarkEnd w:id="80"/>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C1230</w:t>
            </w:r>
          </w:p>
        </w:tc>
        <w:tc>
          <w:tcPr>
            <w:vAlign w:val="center"/>
          </w:tcPr>
          <w:p>
            <w:r>
              <w:t>1200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C1530</w:t>
            </w:r>
          </w:p>
        </w:tc>
        <w:tc>
          <w:tcPr>
            <w:vAlign w:val="center"/>
          </w:tcPr>
          <w:p>
            <w:r>
              <w:t>1500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M1115</w:t>
            </w:r>
          </w:p>
        </w:tc>
        <w:tc>
          <w:tcPr>
            <w:vAlign w:val="center"/>
          </w:tcPr>
          <w:p>
            <w:r>
              <w:t>11974</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M1615</w:t>
            </w:r>
          </w:p>
        </w:tc>
        <w:tc>
          <w:tcPr>
            <w:vAlign w:val="center"/>
          </w:tcPr>
          <w:p>
            <w:r>
              <w:t>16000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M1815</w:t>
            </w:r>
          </w:p>
        </w:tc>
        <w:tc>
          <w:tcPr>
            <w:vAlign w:val="center"/>
          </w:tcPr>
          <w:p>
            <w:r>
              <w:t>1800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M1830</w:t>
            </w:r>
          </w:p>
        </w:tc>
        <w:tc>
          <w:tcPr>
            <w:vAlign w:val="center"/>
          </w:tcPr>
          <w:p>
            <w:r>
              <w:t>1800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M2030</w:t>
            </w:r>
          </w:p>
        </w:tc>
        <w:tc>
          <w:tcPr>
            <w:vAlign w:val="center"/>
          </w:tcPr>
          <w:p>
            <w:r>
              <w:t>2000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M2315</w:t>
            </w:r>
          </w:p>
        </w:tc>
        <w:tc>
          <w:tcPr>
            <w:vAlign w:val="center"/>
          </w:tcPr>
          <w:p>
            <w:r>
              <w:t>2300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M3030</w:t>
            </w:r>
          </w:p>
        </w:tc>
        <w:tc>
          <w:tcPr>
            <w:vAlign w:val="center"/>
          </w:tcPr>
          <w:p>
            <w:r>
              <w:t>3000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M4050</w:t>
            </w:r>
          </w:p>
        </w:tc>
        <w:tc>
          <w:tcPr>
            <w:vAlign w:val="center"/>
          </w:tcPr>
          <w:p>
            <w:r>
              <w:t>4000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M5030</w:t>
            </w:r>
          </w:p>
        </w:tc>
        <w:tc>
          <w:tcPr>
            <w:vAlign w:val="center"/>
          </w:tcPr>
          <w:p>
            <w:r>
              <w:t>5000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M6030</w:t>
            </w:r>
          </w:p>
        </w:tc>
        <w:tc>
          <w:tcPr>
            <w:vAlign w:val="center"/>
          </w:tcPr>
          <w:p>
            <w:r>
              <w:t>6000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5"/>
      </w:pPr>
      <w:bookmarkStart w:id="81" w:name="_Toc16713"/>
      <w:bookmarkStart w:id="82" w:name="天窗"/>
      <w:r>
        <w:rPr>
          <w:rFonts w:hint="eastAsia"/>
        </w:rPr>
        <w:t>天 窗</w:t>
      </w:r>
      <w:bookmarkEnd w:id="81"/>
    </w:p>
    <w:bookmarkEnd w:id="82"/>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面积</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1500</w:t>
            </w:r>
          </w:p>
        </w:tc>
        <w:tc>
          <w:tcPr>
            <w:vAlign w:val="center"/>
          </w:tcPr>
          <w:p>
            <w:r>
              <w:t>35065</w:t>
            </w:r>
          </w:p>
        </w:tc>
        <w:tc>
          <w:tcPr>
            <w:vAlign w:val="center"/>
          </w:tcPr>
          <w:p>
            <w:r>
              <w:t>52.627</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83" w:name="窗污染折减系数"/>
      <w:bookmarkEnd w:id="83"/>
    </w:p>
    <w:p>
      <w:pPr>
        <w:pStyle w:val="2"/>
        <w:ind w:left="432" w:hanging="432"/>
      </w:pPr>
      <w:bookmarkStart w:id="84" w:name="_Toc8660"/>
      <w:r>
        <w:rPr>
          <w:rFonts w:hint="eastAsia"/>
        </w:rPr>
        <w:t>动态采光达标统计</w:t>
      </w:r>
      <w:bookmarkEnd w:id="84"/>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79"/>
        <w:gridCol w:w="743"/>
        <w:gridCol w:w="160"/>
        <w:gridCol w:w="1090"/>
        <w:gridCol w:w="165"/>
        <w:gridCol w:w="585"/>
        <w:gridCol w:w="750"/>
        <w:gridCol w:w="80"/>
        <w:gridCol w:w="942"/>
        <w:gridCol w:w="473"/>
        <w:gridCol w:w="549"/>
        <w:gridCol w:w="1431"/>
        <w:gridCol w:w="58"/>
        <w:gridCol w:w="1489"/>
        <w:gridCol w:w="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gridAfter w:val="1"/>
        </w:trPr>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shd w:val="clear" w:color="auto" w:fill="E6E6E6"/>
            <w:vAlign w:val="center"/>
          </w:tcPr>
          <w:p>
            <w:pPr>
              <w:jc w:val="center"/>
            </w:pPr>
            <w:r>
              <w:t>房间类型</w:t>
            </w:r>
          </w:p>
        </w:tc>
        <w:tc>
          <w:tcPr>
            <w:gridSpan w:val="2"/>
            <w:shd w:val="clear" w:color="auto" w:fill="E6E6E6"/>
            <w:vAlign w:val="center"/>
          </w:tcPr>
          <w:p>
            <w:pPr>
              <w:jc w:val="center"/>
            </w:pPr>
            <w:r>
              <w:t>采光</w:t>
            </w:r>
            <w:r>
              <w:br w:type="textWrapping"/>
            </w:r>
            <w:r>
              <w:t>等级</w:t>
            </w:r>
          </w:p>
        </w:tc>
        <w:tc>
          <w:tcPr>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设计照度</w:t>
            </w:r>
            <w:r>
              <w:br w:type="textWrapping"/>
            </w:r>
            <w:r>
              <w:t>要求(Lx)</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达标面积</w:t>
            </w:r>
            <w:r>
              <w:br w:type="textWrapping"/>
            </w:r>
            <w:r>
              <w:t>比例(%)</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1</w:t>
            </w:r>
          </w:p>
        </w:tc>
        <w:tc>
          <w:tcPr>
            <w:gridSpan w:val="2"/>
            <w:vAlign w:val="center"/>
          </w:tcPr>
          <w:p>
            <w:pPr>
              <w:jc w:val="center"/>
            </w:pPr>
            <w:r>
              <w:t>1001</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287.65</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1002</w:t>
            </w:r>
          </w:p>
        </w:tc>
        <w:tc>
          <w:tcPr>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150</w:t>
            </w:r>
          </w:p>
        </w:tc>
        <w:tc>
          <w:tcPr>
            <w:gridSpan w:val="2"/>
            <w:vAlign w:val="center"/>
          </w:tcPr>
          <w:p>
            <w:pPr>
              <w:jc w:val="center"/>
            </w:pPr>
            <w:r>
              <w:t>39.44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1003</w:t>
            </w:r>
          </w:p>
        </w:tc>
        <w:tc>
          <w:tcPr>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150</w:t>
            </w:r>
          </w:p>
        </w:tc>
        <w:tc>
          <w:tcPr>
            <w:gridSpan w:val="2"/>
            <w:vAlign w:val="center"/>
          </w:tcPr>
          <w:p>
            <w:pPr>
              <w:jc w:val="center"/>
            </w:pPr>
            <w:r>
              <w:t>38.84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Align w:val="center"/>
          </w:tcPr>
          <w:p>
            <w:pPr>
              <w:jc w:val="center"/>
            </w:pPr>
            <w:r>
              <w:t>2</w:t>
            </w:r>
          </w:p>
        </w:tc>
        <w:tc>
          <w:tcPr>
            <w:gridSpan w:val="2"/>
            <w:vAlign w:val="center"/>
          </w:tcPr>
          <w:p>
            <w:pPr>
              <w:jc w:val="center"/>
            </w:pPr>
            <w:r>
              <w:t>-1001</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400.96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3</w:t>
            </w:r>
          </w:p>
        </w:tc>
        <w:tc>
          <w:tcPr>
            <w:gridSpan w:val="2"/>
            <w:vAlign w:val="center"/>
          </w:tcPr>
          <w:p>
            <w:pPr>
              <w:jc w:val="center"/>
            </w:pPr>
            <w:r>
              <w:t>3001</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186.24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3002</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50.44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3003</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72.96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3004</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68.44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房间类型</w:t>
            </w:r>
          </w:p>
        </w:tc>
        <w:tc>
          <w:tcPr>
            <w:gridSpan w:val="3"/>
            <w:shd w:val="clear" w:color="auto" w:fill="E6E6E6"/>
            <w:vAlign w:val="center"/>
          </w:tcPr>
          <w:p>
            <w:pPr>
              <w:jc w:val="center"/>
            </w:pPr>
            <w:r>
              <w:t>采光类型</w:t>
            </w:r>
          </w:p>
        </w:tc>
        <w:tc>
          <w:tcPr>
            <w:gridSpan w:val="3"/>
            <w:shd w:val="clear" w:color="auto" w:fill="E6E6E6"/>
            <w:vAlign w:val="center"/>
          </w:tcPr>
          <w:p>
            <w:pPr>
              <w:jc w:val="center"/>
            </w:pPr>
            <w:r>
              <w:t>设计照度(Lx)</w:t>
            </w:r>
          </w:p>
        </w:tc>
        <w:tc>
          <w:tcPr>
            <w:gridSpan w:val="2"/>
            <w:shd w:val="clear" w:color="auto" w:fill="E6E6E6"/>
            <w:vAlign w:val="center"/>
          </w:tcPr>
          <w:p>
            <w:pPr>
              <w:jc w:val="center"/>
            </w:pPr>
            <w:r>
              <w:t>总面积(m2)</w:t>
            </w:r>
          </w:p>
        </w:tc>
        <w:tc>
          <w:tcPr>
            <w:gridSpan w:val="2"/>
            <w:shd w:val="clear" w:color="auto" w:fill="E6E6E6"/>
            <w:vAlign w:val="center"/>
          </w:tcPr>
          <w:p>
            <w:pPr>
              <w:jc w:val="center"/>
            </w:pPr>
            <w:r>
              <w:t>达标面积比例(%)</w:t>
            </w:r>
          </w:p>
        </w:tc>
        <w:tc>
          <w:tcPr>
            <w:gridSpan w:val="3"/>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展厅（单层及顶层）</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688.61</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库房</w:t>
            </w:r>
          </w:p>
        </w:tc>
        <w:tc>
          <w:tcPr>
            <w:gridSpan w:val="3"/>
            <w:vAlign w:val="center"/>
          </w:tcPr>
          <w:p>
            <w:pPr>
              <w:jc w:val="center"/>
            </w:pPr>
            <w:r>
              <w:t>侧面</w:t>
            </w:r>
          </w:p>
        </w:tc>
        <w:tc>
          <w:tcPr>
            <w:gridSpan w:val="3"/>
            <w:vAlign w:val="center"/>
          </w:tcPr>
          <w:p>
            <w:pPr>
              <w:jc w:val="center"/>
            </w:pPr>
            <w:r>
              <w:t>150</w:t>
            </w:r>
          </w:p>
        </w:tc>
        <w:tc>
          <w:tcPr>
            <w:gridSpan w:val="2"/>
            <w:vAlign w:val="center"/>
          </w:tcPr>
          <w:p>
            <w:pPr>
              <w:jc w:val="center"/>
            </w:pPr>
            <w:r>
              <w:t>78.28</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展厅（单层及顶层）</w:t>
            </w:r>
          </w:p>
        </w:tc>
        <w:tc>
          <w:tcPr>
            <w:gridSpan w:val="3"/>
            <w:vAlign w:val="center"/>
          </w:tcPr>
          <w:p>
            <w:pPr>
              <w:jc w:val="center"/>
            </w:pPr>
            <w:r>
              <w:t>混合</w:t>
            </w:r>
          </w:p>
        </w:tc>
        <w:tc>
          <w:tcPr>
            <w:gridSpan w:val="3"/>
            <w:vAlign w:val="center"/>
          </w:tcPr>
          <w:p>
            <w:pPr>
              <w:jc w:val="center"/>
            </w:pPr>
            <w:r>
              <w:t>300</w:t>
            </w:r>
          </w:p>
        </w:tc>
        <w:tc>
          <w:tcPr>
            <w:gridSpan w:val="2"/>
            <w:vAlign w:val="center"/>
          </w:tcPr>
          <w:p>
            <w:pPr>
              <w:jc w:val="center"/>
            </w:pPr>
            <w:r>
              <w:t>378.08</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jc w:val="center"/>
            </w:pPr>
            <w:r>
              <w:t>多区域面积加权平均</w:t>
            </w:r>
          </w:p>
        </w:tc>
        <w:tc>
          <w:tcPr>
            <w:gridSpan w:val="2"/>
            <w:vAlign w:val="center"/>
          </w:tcPr>
          <w:p>
            <w:pPr>
              <w:jc w:val="center"/>
            </w:pPr>
            <w:r>
              <w:t>100</w:t>
            </w:r>
          </w:p>
        </w:tc>
        <w:tc>
          <w:tcPr>
            <w:gridSpan w:val="3"/>
            <w:vAlign w:val="center"/>
          </w:tcPr>
          <w:p>
            <w:pPr>
              <w:jc w:val="center"/>
            </w:pPr>
            <w:r>
              <w:rPr>
                <w:b/>
              </w:rPr>
              <w:t>3分</w:t>
            </w:r>
          </w:p>
        </w:tc>
      </w:tr>
    </w:tbl>
    <w:p>
      <w:pPr>
        <w:rPr>
          <w:lang w:val="en-US"/>
        </w:rPr>
      </w:pPr>
      <w:bookmarkStart w:id="85" w:name="达标率表格"/>
      <w:bookmarkEnd w:id="85"/>
    </w:p>
    <w:p>
      <w:pPr>
        <w:pStyle w:val="2"/>
        <w:ind w:left="432" w:hanging="432"/>
      </w:pPr>
      <w:bookmarkStart w:id="86" w:name="_Toc513555457"/>
      <w:bookmarkStart w:id="87" w:name="_Toc22462"/>
      <w:r>
        <w:rPr>
          <w:rFonts w:hint="eastAsia"/>
        </w:rPr>
        <w:t>动态采光</w:t>
      </w:r>
      <w:bookmarkEnd w:id="86"/>
      <w:r>
        <w:rPr>
          <w:rFonts w:hint="eastAsia"/>
        </w:rPr>
        <w:t>统计图</w:t>
      </w:r>
      <w:bookmarkEnd w:id="87"/>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8" w:name="逐日统计图"/>
      <w:bookmarkEnd w:id="88"/>
      <w:r>
        <w:drawing>
          <wp:inline distT="0" distB="0" distL="0" distR="0">
            <wp:extent cx="5667375" cy="29622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89" w:name="逐月统计图"/>
      <w:bookmarkEnd w:id="89"/>
      <w:r>
        <w:drawing>
          <wp:inline distT="0" distB="0" distL="0" distR="0">
            <wp:extent cx="5667375" cy="29622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90" w:name="_Toc23698"/>
      <w:r>
        <w:rPr>
          <w:rFonts w:hint="eastAsia"/>
        </w:rPr>
        <w:t>评价结论</w:t>
      </w:r>
      <w:bookmarkEnd w:id="90"/>
    </w:p>
    <w:p>
      <w:pPr>
        <w:pStyle w:val="3"/>
        <w:ind w:firstLine="420" w:firstLineChars="20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528" w:type="dxa"/>
            <w:shd w:val="clear" w:color="auto" w:fill="E6E6E6"/>
            <w:vAlign w:val="center"/>
          </w:tcPr>
          <w:p>
            <w:bookmarkStart w:id="91" w:name="动态评价指标"/>
            <w:r>
              <w:rPr>
                <w:rFonts w:hint="eastAsia"/>
              </w:rPr>
              <w:t>达标面积比例(%)</w:t>
            </w:r>
            <w:bookmarkEnd w:id="91"/>
          </w:p>
        </w:tc>
        <w:tc>
          <w:tcPr>
            <w:tcW w:w="2126" w:type="dxa"/>
            <w:shd w:val="clear" w:color="auto" w:fill="E6E6E6"/>
            <w:vAlign w:val="center"/>
          </w:tcPr>
          <w:p>
            <w:r>
              <w:rPr>
                <w:rFonts w:hint="eastAsia"/>
              </w:rPr>
              <w:t>标准</w:t>
            </w:r>
            <w:r>
              <w:t>要求</w:t>
            </w:r>
            <w:r>
              <w:rPr>
                <w:rFonts w:hint="eastAsia"/>
              </w:rPr>
              <w:t>（</w:t>
            </w:r>
            <w:bookmarkStart w:id="92" w:name="动态评价指标单位"/>
            <w:r>
              <w:rPr>
                <w:rFonts w:hint="eastAsia"/>
              </w:rPr>
              <w:t>%</w:t>
            </w:r>
            <w:bookmarkEnd w:id="92"/>
            <w:r>
              <w:rPr>
                <w:rFonts w:hint="eastAsia"/>
              </w:rPr>
              <w:t>）</w:t>
            </w:r>
          </w:p>
        </w:tc>
        <w:tc>
          <w:tcPr>
            <w:tcW w:w="1855"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3" w:name="采光面积"/>
            <w:r>
              <w:t>1144.97</w:t>
            </w:r>
            <w:bookmarkEnd w:id="93"/>
          </w:p>
        </w:tc>
        <w:tc>
          <w:tcPr>
            <w:tcW w:w="2528" w:type="dxa"/>
            <w:vAlign w:val="center"/>
          </w:tcPr>
          <w:p>
            <w:pPr>
              <w:pStyle w:val="3"/>
              <w:jc w:val="center"/>
            </w:pPr>
            <w:bookmarkStart w:id="94" w:name="平均时数"/>
            <w:r>
              <w:t>100</w:t>
            </w:r>
            <w:bookmarkEnd w:id="94"/>
          </w:p>
        </w:tc>
        <w:tc>
          <w:tcPr>
            <w:tcW w:w="2126" w:type="dxa"/>
            <w:vAlign w:val="center"/>
          </w:tcPr>
          <w:p>
            <w:pPr>
              <w:pStyle w:val="3"/>
              <w:jc w:val="center"/>
            </w:pPr>
            <w:bookmarkStart w:id="95" w:name="动态评价指标要求"/>
            <w:r>
              <w:rPr>
                <w:rFonts w:hint="eastAsia"/>
              </w:rPr>
              <w:t>60</w:t>
            </w:r>
            <w:bookmarkEnd w:id="95"/>
          </w:p>
        </w:tc>
        <w:tc>
          <w:tcPr>
            <w:tcW w:w="1855" w:type="dxa"/>
            <w:vAlign w:val="center"/>
          </w:tcPr>
          <w:p>
            <w:pPr>
              <w:pStyle w:val="3"/>
              <w:jc w:val="center"/>
            </w:pPr>
            <w:bookmarkStart w:id="96" w:name="动态采光得分"/>
            <w:r>
              <w:rPr>
                <w:rFonts w:hint="eastAsia"/>
              </w:rPr>
              <w:t>3</w:t>
            </w:r>
            <w:bookmarkEnd w:id="96"/>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tabs>
          <w:tab w:val="left" w:pos="902"/>
        </w:tabs>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MGZkMGRiYjA0ZWZhMzRkZjZjZWM0NTQxMWY5YzkifQ=="/>
  </w:docVars>
  <w:rsids>
    <w:rsidRoot w:val="345F493A"/>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345F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autoRedefine/>
    <w:qFormat/>
    <w:uiPriority w:val="0"/>
    <w:pPr>
      <w:tabs>
        <w:tab w:val="center" w:pos="4153"/>
        <w:tab w:val="right" w:pos="8306"/>
      </w:tabs>
    </w:pPr>
  </w:style>
  <w:style w:type="paragraph" w:styleId="18">
    <w:name w:val="header"/>
    <w:basedOn w:val="1"/>
    <w:autoRedefine/>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datastoreItem>
</file>

<file path=docProps/app.xml><?xml version="1.0" encoding="utf-8"?>
<Properties xmlns="http://schemas.openxmlformats.org/officeDocument/2006/extended-properties" xmlns:vt="http://schemas.openxmlformats.org/officeDocument/2006/docPropsVTypes">
  <Template>tmp10.dotx</Template>
  <Pages>9</Pages>
  <Words>3876</Words>
  <Characters>4848</Characters>
  <Lines>50</Lines>
  <Paragraphs>14</Paragraphs>
  <TotalTime>0</TotalTime>
  <ScaleCrop>false</ScaleCrop>
  <LinksUpToDate>false</LinksUpToDate>
  <CharactersWithSpaces>4959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2024-02-20T16:01:00Z</dcterms:created>
  <dc:creator>RBbird.</dc:creator>
  <cp:lastModifiedBy>RBbird.</cp:lastModifiedBy>
  <dcterms:modified xsi:type="dcterms:W3CDTF">2024-02-20T16:02:23Z</dcterms:modified>
  <dc:title>公共建筑采光达标率计算书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C3BCBD70BB78409AADB4554771392284_11</vt:lpwstr>
  </property>
  <property fmtid="{D5CDD505-2E9C-101B-9397-08002B2CF9AE}" pid="3" name="KSOProductBuildVer">
    <vt:lpwstr>2052-12.1.0.16250</vt:lpwstr>
  </property>
</Properties>
</file>