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云南-普洱-澜沧</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2024年3月16日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节能设计BECS2023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20220923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T15862176512</w:t>
            </w:r>
            <w:bookmarkEnd w:id="9"/>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50"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_Toc13466 </w:instrText>
      </w:r>
      <w:r>
        <w:rPr>
          <w:rFonts w:ascii="宋体" w:hAnsi="宋体"/>
          <w:bCs w:val="0"/>
          <w:caps/>
        </w:rPr>
        <w:fldChar w:fldCharType="separate"/>
      </w:r>
      <w:r>
        <w:rPr>
          <w:rFonts w:hint="eastAsia"/>
        </w:rPr>
        <w:t>1 建筑概况</w:t>
      </w:r>
      <w:r>
        <w:tab/>
      </w:r>
      <w:r>
        <w:fldChar w:fldCharType="begin"/>
      </w:r>
      <w:r>
        <w:instrText xml:space="preserve"> PAGEREF _Toc13466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_Toc25681 </w:instrText>
      </w:r>
      <w:r>
        <w:fldChar w:fldCharType="separate"/>
      </w:r>
      <w:r>
        <w:rPr>
          <w:rFonts w:hint="eastAsia"/>
        </w:rPr>
        <w:t>2 评价依据</w:t>
      </w:r>
      <w:r>
        <w:tab/>
      </w:r>
      <w:r>
        <w:fldChar w:fldCharType="begin"/>
      </w:r>
      <w:r>
        <w:instrText xml:space="preserve"> PAGEREF _Toc25681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_Toc4714 </w:instrText>
      </w:r>
      <w:r>
        <w:fldChar w:fldCharType="separate"/>
      </w:r>
      <w:r>
        <w:rPr>
          <w:rFonts w:hint="eastAsia"/>
        </w:rPr>
        <w:t>3 评价目标与方法</w:t>
      </w:r>
      <w:r>
        <w:tab/>
      </w:r>
      <w:r>
        <w:fldChar w:fldCharType="begin"/>
      </w:r>
      <w:r>
        <w:instrText xml:space="preserve"> PAGEREF _Toc4714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_Toc24535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_Toc24535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_Toc535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_Toc535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_Toc1716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_Toc1716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_Toc22002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_Toc22002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_Toc13158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_Toc13158 \h </w:instrText>
      </w:r>
      <w:r>
        <w:fldChar w:fldCharType="separate"/>
      </w:r>
      <w:r>
        <w:t>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_Toc21040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_Toc21040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_Toc18004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_Toc18004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_Toc22161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_Toc22161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_Toc1355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_Toc1355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_Toc10878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_Toc10878 \h </w:instrText>
      </w:r>
      <w:r>
        <w:fldChar w:fldCharType="separate"/>
      </w:r>
      <w:r>
        <w:t>5</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50"/>
    </w:p>
    <w:p>
      <w:pPr>
        <w:rPr>
          <w:b/>
          <w:bCs/>
          <w:kern w:val="32"/>
          <w:sz w:val="28"/>
          <w:szCs w:val="28"/>
          <w:lang w:val="en-US"/>
        </w:rPr>
      </w:pPr>
    </w:p>
    <w:p>
      <w:pPr>
        <w:pStyle w:val="2"/>
      </w:pPr>
      <w:bookmarkStart w:id="11" w:name="_Toc38789334"/>
      <w:bookmarkStart w:id="12" w:name="_Toc38789037"/>
      <w:bookmarkStart w:id="13" w:name="_Toc13466"/>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新建项目</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云南-普洱-澜沧</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夏热冬暖南区</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880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13.9</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bl>
    <w:p>
      <w:pPr>
        <w:pStyle w:val="2"/>
      </w:pPr>
      <w:bookmarkStart w:id="23" w:name="_Toc38788904"/>
      <w:bookmarkStart w:id="24" w:name="_Toc38789038"/>
      <w:bookmarkStart w:id="25" w:name="_Toc38789335"/>
      <w:bookmarkStart w:id="26" w:name="_Toc25681"/>
      <w:bookmarkStart w:id="27" w:name="TitleFormat"/>
      <w:r>
        <w:rPr>
          <w:rFonts w:hint="eastAsia"/>
        </w:rPr>
        <w:t>评价依据</w:t>
      </w:r>
      <w:bookmarkEnd w:id="23"/>
      <w:bookmarkEnd w:id="24"/>
      <w:bookmarkEnd w:id="25"/>
      <w:bookmarkEnd w:id="26"/>
    </w:p>
    <w:bookmarkEnd w:id="27"/>
    <w:p>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9" w:name="_Toc38789024"/>
      <w:bookmarkStart w:id="30" w:name="_Toc38788252"/>
      <w:bookmarkStart w:id="31" w:name="_Toc38789314"/>
      <w:bookmarkStart w:id="32" w:name="_Toc4714"/>
      <w:r>
        <w:rPr>
          <w:rFonts w:hint="eastAsia"/>
        </w:rPr>
        <w:t>评价目标与方法</w:t>
      </w:r>
      <w:bookmarkEnd w:id="29"/>
      <w:bookmarkEnd w:id="30"/>
      <w:bookmarkEnd w:id="31"/>
      <w:bookmarkEnd w:id="32"/>
    </w:p>
    <w:p>
      <w:pPr>
        <w:pStyle w:val="4"/>
        <w:rPr>
          <w:kern w:val="2"/>
        </w:rPr>
      </w:pPr>
      <w:bookmarkStart w:id="33" w:name="_Toc38788253"/>
      <w:bookmarkStart w:id="34" w:name="_Toc38789025"/>
      <w:bookmarkStart w:id="35" w:name="_Toc38789315"/>
      <w:bookmarkStart w:id="36" w:name="_Toc24535"/>
      <w:r>
        <w:rPr>
          <w:rFonts w:hint="eastAsia"/>
          <w:kern w:val="2"/>
        </w:rPr>
        <w:t>评价目标</w:t>
      </w:r>
      <w:bookmarkEnd w:id="33"/>
      <w:bookmarkEnd w:id="34"/>
      <w:bookmarkEnd w:id="35"/>
      <w:bookmarkEnd w:id="36"/>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8" w:name="_Toc38789026"/>
      <w:bookmarkStart w:id="39" w:name="_Toc38789316"/>
      <w:bookmarkStart w:id="40" w:name="_Toc38788254"/>
      <w:bookmarkStart w:id="41" w:name="_Toc535"/>
      <w:r>
        <w:rPr>
          <w:rFonts w:hint="eastAsia"/>
          <w:kern w:val="2"/>
        </w:rPr>
        <w:t>评价方法</w:t>
      </w:r>
      <w:bookmarkEnd w:id="38"/>
      <w:bookmarkEnd w:id="39"/>
      <w:bookmarkEnd w:id="40"/>
      <w:bookmarkEnd w:id="41"/>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pStyle w:val="2"/>
        <w:widowControl w:val="0"/>
        <w:jc w:val="both"/>
        <w:rPr>
          <w:kern w:val="2"/>
          <w:lang w:val="en-US"/>
        </w:rPr>
      </w:pPr>
      <w:bookmarkStart w:id="42" w:name="_Toc1716"/>
      <w:r>
        <w:rPr>
          <w:kern w:val="2"/>
          <w:lang w:val="en-US"/>
        </w:rPr>
        <w:t>外窗构造与遮阳类型</w:t>
      </w:r>
      <w:bookmarkEnd w:id="42"/>
    </w:p>
    <w:p>
      <w:pPr>
        <w:pStyle w:val="4"/>
        <w:widowControl w:val="0"/>
        <w:jc w:val="both"/>
        <w:rPr>
          <w:kern w:val="2"/>
          <w:lang w:val="en-US"/>
        </w:rPr>
      </w:pPr>
      <w:bookmarkStart w:id="43" w:name="_Toc22002"/>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3.900</w:t>
            </w:r>
          </w:p>
        </w:tc>
        <w:tc>
          <w:tcPr>
            <w:vAlign w:val="center"/>
          </w:tcPr>
          <w:p>
            <w:r>
              <w:t>0.460</w:t>
            </w:r>
          </w:p>
        </w:tc>
        <w:tc>
          <w:tcPr>
            <w:vAlign w:val="center"/>
          </w:tcPr>
          <w:p>
            <w:r>
              <w:t>否</w:t>
            </w:r>
          </w:p>
        </w:tc>
        <w:tc>
          <w:tcPr>
            <w:vAlign w:val="center"/>
          </w:tcPr>
          <w:p>
            <w:r>
              <w:t>来源《民用建筑热工设计规范》</w:t>
            </w:r>
          </w:p>
        </w:tc>
      </w:tr>
    </w:tbl>
    <w:p>
      <w:pPr>
        <w:pStyle w:val="4"/>
        <w:widowControl w:val="0"/>
        <w:jc w:val="both"/>
        <w:rPr>
          <w:kern w:val="2"/>
          <w:lang w:val="en-US"/>
        </w:rPr>
      </w:pPr>
      <w:bookmarkStart w:id="44" w:name="_Toc13158"/>
      <w:r>
        <w:rPr>
          <w:kern w:val="2"/>
          <w:lang w:val="en-US"/>
        </w:rPr>
        <w:t>遮阳类型</w:t>
      </w:r>
      <w:bookmarkEnd w:id="44"/>
    </w:p>
    <w:p>
      <w:pPr>
        <w:pStyle w:val="5"/>
        <w:widowControl w:val="0"/>
        <w:jc w:val="both"/>
        <w:rPr>
          <w:kern w:val="2"/>
          <w:lang w:val="en-US"/>
        </w:rPr>
      </w:pPr>
      <w:bookmarkStart w:id="45" w:name="_Toc21040"/>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c>
          <w:tcPr>
            <w:shd w:val="clear" w:color="auto" w:fill="E6E6E6"/>
            <w:vAlign w:val="center"/>
          </w:tcPr>
          <w:p>
            <w:pPr>
              <w:jc w:val="center"/>
            </w:pPr>
            <w:r>
              <w:t>平均遮阳系数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活动遮阳0</w:t>
            </w:r>
          </w:p>
        </w:tc>
        <w:tc>
          <w:tcPr>
            <w:vAlign w:val="center"/>
          </w:tcPr>
          <w:p>
            <w:r>
              <w:t>1.000</w:t>
            </w:r>
          </w:p>
        </w:tc>
        <w:tc>
          <w:tcPr>
            <w:vAlign w:val="center"/>
          </w:tcPr>
          <w:p>
            <w:r>
              <w:t>1.000</w:t>
            </w:r>
          </w:p>
        </w:tc>
        <w:tc>
          <w:tcPr>
            <w:vAlign w:val="center"/>
          </w:tcPr>
          <w:p>
            <w:r>
              <w:t>1.000</w:t>
            </w:r>
          </w:p>
        </w:tc>
        <w:tc>
          <w:tcPr>
            <w:vAlign w:val="center"/>
          </w:tcPr>
          <w:p/>
        </w:tc>
      </w:tr>
    </w:tbl>
    <w:p>
      <w:pPr>
        <w:pStyle w:val="2"/>
        <w:widowControl w:val="0"/>
        <w:jc w:val="both"/>
        <w:rPr>
          <w:kern w:val="2"/>
          <w:lang w:val="en-US"/>
        </w:rPr>
      </w:pPr>
      <w:bookmarkStart w:id="46" w:name="_Toc18004"/>
      <w:r>
        <w:rPr>
          <w:kern w:val="2"/>
          <w:lang w:val="en-US"/>
        </w:rPr>
        <w:t>统计汇总</w:t>
      </w:r>
      <w:bookmarkEnd w:id="46"/>
    </w:p>
    <w:p>
      <w:pPr>
        <w:pStyle w:val="4"/>
        <w:widowControl w:val="0"/>
        <w:jc w:val="both"/>
        <w:rPr>
          <w:kern w:val="2"/>
          <w:lang w:val="en-US"/>
        </w:rPr>
      </w:pPr>
      <w:bookmarkStart w:id="47" w:name="_Toc22161"/>
      <w:r>
        <w:rPr>
          <w:kern w:val="2"/>
          <w:lang w:val="en-US"/>
        </w:rPr>
        <w:t>各朝向遮阳设施统计</w:t>
      </w:r>
      <w:bookmarkEnd w:id="47"/>
    </w:p>
    <w:p>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JC5215</w:t>
            </w:r>
          </w:p>
        </w:tc>
        <w:tc>
          <w:tcPr>
            <w:vAlign w:val="center"/>
          </w:tcPr>
          <w:p>
            <w:r>
              <w:t>4</w:t>
            </w:r>
          </w:p>
        </w:tc>
        <w:tc>
          <w:tcPr>
            <w:vAlign w:val="center"/>
          </w:tcPr>
          <w:p>
            <w:r>
              <w:t>1</w:t>
            </w:r>
          </w:p>
        </w:tc>
        <w:tc>
          <w:tcPr>
            <w:vAlign w:val="center"/>
          </w:tcPr>
          <w:p>
            <w:r>
              <w:t>7.79</w:t>
            </w:r>
          </w:p>
        </w:tc>
        <w:tc>
          <w:tcPr>
            <w:vAlign w:val="center"/>
          </w:tcPr>
          <w:p>
            <w:r>
              <w:t>7.79</w:t>
            </w:r>
          </w:p>
        </w:tc>
        <w:tc>
          <w:tcPr>
            <w:vAlign w:val="center"/>
          </w:tcPr>
          <w:p>
            <w:r>
              <w:t>18</w:t>
            </w:r>
          </w:p>
        </w:tc>
        <w:tc>
          <w:tcPr>
            <w:vAlign w:val="center"/>
          </w:tcPr>
          <w:p>
            <w:r>
              <w:t>0.46</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7.79</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2.北向</w:t>
      </w:r>
    </w:p>
    <w:p>
      <w:pPr>
        <w:widowControl w:val="0"/>
        <w:jc w:val="both"/>
        <w:rPr>
          <w:kern w:val="2"/>
          <w:lang w:val="en-US"/>
        </w:rPr>
      </w:pPr>
      <w:r>
        <w:rPr>
          <w:kern w:val="2"/>
          <w:lang w:val="en-US"/>
        </w:rPr>
        <w:t>无外窗</w:t>
      </w:r>
    </w:p>
    <w:p>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JC3215</w:t>
            </w:r>
          </w:p>
        </w:tc>
        <w:tc>
          <w:tcPr>
            <w:vAlign w:val="center"/>
          </w:tcPr>
          <w:p>
            <w:r>
              <w:t>1</w:t>
            </w:r>
          </w:p>
        </w:tc>
        <w:tc>
          <w:tcPr>
            <w:vAlign w:val="center"/>
          </w:tcPr>
          <w:p>
            <w:r>
              <w:t>1</w:t>
            </w:r>
          </w:p>
        </w:tc>
        <w:tc>
          <w:tcPr>
            <w:vAlign w:val="center"/>
          </w:tcPr>
          <w:p>
            <w:r>
              <w:t>4.80</w:t>
            </w:r>
          </w:p>
        </w:tc>
        <w:tc>
          <w:tcPr>
            <w:vAlign w:val="center"/>
          </w:tcPr>
          <w:p>
            <w:r>
              <w:t>4.80</w:t>
            </w:r>
          </w:p>
        </w:tc>
        <w:tc>
          <w:tcPr>
            <w:vAlign w:val="center"/>
          </w:tcPr>
          <w:p>
            <w:r>
              <w:t>18</w:t>
            </w:r>
          </w:p>
        </w:tc>
        <w:tc>
          <w:tcPr>
            <w:vAlign w:val="center"/>
          </w:tcPr>
          <w:p>
            <w:r>
              <w:t>0.46</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JC3315</w:t>
            </w:r>
          </w:p>
        </w:tc>
        <w:tc>
          <w:tcPr>
            <w:vAlign w:val="center"/>
          </w:tcPr>
          <w:p>
            <w:r>
              <w:t>1</w:t>
            </w:r>
          </w:p>
        </w:tc>
        <w:tc>
          <w:tcPr>
            <w:vAlign w:val="center"/>
          </w:tcPr>
          <w:p>
            <w:r>
              <w:t>1</w:t>
            </w:r>
          </w:p>
        </w:tc>
        <w:tc>
          <w:tcPr>
            <w:vAlign w:val="center"/>
          </w:tcPr>
          <w:p>
            <w:r>
              <w:t>4.92</w:t>
            </w:r>
          </w:p>
        </w:tc>
        <w:tc>
          <w:tcPr>
            <w:vAlign w:val="center"/>
          </w:tcPr>
          <w:p>
            <w:r>
              <w:t>4.92</w:t>
            </w:r>
          </w:p>
        </w:tc>
        <w:tc>
          <w:tcPr>
            <w:vAlign w:val="center"/>
          </w:tcPr>
          <w:p>
            <w:r>
              <w:t>18</w:t>
            </w:r>
          </w:p>
        </w:tc>
        <w:tc>
          <w:tcPr>
            <w:vAlign w:val="center"/>
          </w:tcPr>
          <w:p>
            <w:r>
              <w:t>0.46</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JC3115</w:t>
            </w:r>
          </w:p>
        </w:tc>
        <w:tc>
          <w:tcPr>
            <w:vAlign w:val="center"/>
          </w:tcPr>
          <w:p>
            <w:r>
              <w:t>1</w:t>
            </w:r>
          </w:p>
        </w:tc>
        <w:tc>
          <w:tcPr>
            <w:vAlign w:val="center"/>
          </w:tcPr>
          <w:p>
            <w:r>
              <w:t>1</w:t>
            </w:r>
          </w:p>
        </w:tc>
        <w:tc>
          <w:tcPr>
            <w:vAlign w:val="center"/>
          </w:tcPr>
          <w:p>
            <w:r>
              <w:t>4.61</w:t>
            </w:r>
          </w:p>
        </w:tc>
        <w:tc>
          <w:tcPr>
            <w:vAlign w:val="center"/>
          </w:tcPr>
          <w:p>
            <w:r>
              <w:t>4.61</w:t>
            </w:r>
          </w:p>
        </w:tc>
        <w:tc>
          <w:tcPr>
            <w:vAlign w:val="center"/>
          </w:tcPr>
          <w:p>
            <w:r>
              <w:t>18</w:t>
            </w:r>
          </w:p>
        </w:tc>
        <w:tc>
          <w:tcPr>
            <w:vAlign w:val="center"/>
          </w:tcPr>
          <w:p>
            <w:r>
              <w:t>0.46</w:t>
            </w:r>
          </w:p>
        </w:tc>
        <w:tc>
          <w:tcPr>
            <w:vAlign w:val="center"/>
          </w:tcPr>
          <w:p>
            <w:r>
              <w:t>活动遮阳0</w:t>
            </w:r>
          </w:p>
        </w:tc>
        <w:tc>
          <w:tcPr>
            <w:vAlign w:val="center"/>
          </w:tcPr>
          <w:p>
            <w:r>
              <w:t>否</w:t>
            </w:r>
          </w:p>
        </w:tc>
      </w:tr>
      <w:tr>
        <w:tblPrEx>
          <w:tblCellMar>
            <w:top w:w="0" w:type="dxa"/>
            <w:left w:w="108" w:type="dxa"/>
            <w:bottom w:w="0" w:type="dxa"/>
            <w:right w:w="108" w:type="dxa"/>
          </w:tblCellMar>
        </w:tblPrEx>
        <w:tc>
          <w:tcPr>
            <w:vAlign w:val="center"/>
          </w:tcPr>
          <w:p>
            <w:r>
              <w:t>4</w:t>
            </w:r>
          </w:p>
        </w:tc>
        <w:tc>
          <w:tcPr>
            <w:vAlign w:val="center"/>
          </w:tcPr>
          <w:p>
            <w:r>
              <w:t>JC3215</w:t>
            </w:r>
          </w:p>
        </w:tc>
        <w:tc>
          <w:tcPr>
            <w:vAlign w:val="center"/>
          </w:tcPr>
          <w:p>
            <w:r>
              <w:t>2</w:t>
            </w:r>
          </w:p>
        </w:tc>
        <w:tc>
          <w:tcPr>
            <w:vAlign w:val="center"/>
          </w:tcPr>
          <w:p>
            <w:r>
              <w:t>1</w:t>
            </w:r>
          </w:p>
        </w:tc>
        <w:tc>
          <w:tcPr>
            <w:vAlign w:val="center"/>
          </w:tcPr>
          <w:p>
            <w:r>
              <w:t>4.80</w:t>
            </w:r>
          </w:p>
        </w:tc>
        <w:tc>
          <w:tcPr>
            <w:vAlign w:val="center"/>
          </w:tcPr>
          <w:p>
            <w:r>
              <w:t>4.80</w:t>
            </w:r>
          </w:p>
        </w:tc>
        <w:tc>
          <w:tcPr>
            <w:vAlign w:val="center"/>
          </w:tcPr>
          <w:p>
            <w:r>
              <w:t>18</w:t>
            </w:r>
          </w:p>
        </w:tc>
        <w:tc>
          <w:tcPr>
            <w:vAlign w:val="center"/>
          </w:tcPr>
          <w:p>
            <w:r>
              <w:t>0.46</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JC3315</w:t>
            </w:r>
          </w:p>
        </w:tc>
        <w:tc>
          <w:tcPr>
            <w:vAlign w:val="center"/>
          </w:tcPr>
          <w:p>
            <w:r>
              <w:t>2</w:t>
            </w:r>
          </w:p>
        </w:tc>
        <w:tc>
          <w:tcPr>
            <w:vAlign w:val="center"/>
          </w:tcPr>
          <w:p>
            <w:r>
              <w:t>1</w:t>
            </w:r>
          </w:p>
        </w:tc>
        <w:tc>
          <w:tcPr>
            <w:vAlign w:val="center"/>
          </w:tcPr>
          <w:p>
            <w:r>
              <w:t>4.92</w:t>
            </w:r>
          </w:p>
        </w:tc>
        <w:tc>
          <w:tcPr>
            <w:vAlign w:val="center"/>
          </w:tcPr>
          <w:p>
            <w:r>
              <w:t>4.92</w:t>
            </w:r>
          </w:p>
        </w:tc>
        <w:tc>
          <w:tcPr>
            <w:vAlign w:val="center"/>
          </w:tcPr>
          <w:p>
            <w:r>
              <w:t>18</w:t>
            </w:r>
          </w:p>
        </w:tc>
        <w:tc>
          <w:tcPr>
            <w:vAlign w:val="center"/>
          </w:tcPr>
          <w:p>
            <w:r>
              <w:t>0.46</w:t>
            </w:r>
          </w:p>
        </w:tc>
        <w:tc>
          <w:tcPr>
            <w:vAlign w:val="center"/>
          </w:tcPr>
          <w:p>
            <w:r>
              <w:t>活动遮阳0</w:t>
            </w:r>
          </w:p>
        </w:tc>
        <w:tc>
          <w:tcPr>
            <w:vAlign w:val="center"/>
          </w:tcPr>
          <w:p>
            <w:r>
              <w:t>否</w:t>
            </w:r>
          </w:p>
        </w:tc>
      </w:tr>
      <w:tr>
        <w:tblPrEx>
          <w:tblCellMar>
            <w:top w:w="0" w:type="dxa"/>
            <w:left w:w="108" w:type="dxa"/>
            <w:bottom w:w="0" w:type="dxa"/>
            <w:right w:w="108" w:type="dxa"/>
          </w:tblCellMar>
        </w:tblPrEx>
        <w:tc>
          <w:tcPr>
            <w:vAlign w:val="center"/>
          </w:tcPr>
          <w:p>
            <w:r>
              <w:t>6</w:t>
            </w:r>
          </w:p>
        </w:tc>
        <w:tc>
          <w:tcPr>
            <w:vAlign w:val="center"/>
          </w:tcPr>
          <w:p>
            <w:r>
              <w:t>JC3115</w:t>
            </w:r>
          </w:p>
        </w:tc>
        <w:tc>
          <w:tcPr>
            <w:vAlign w:val="center"/>
          </w:tcPr>
          <w:p>
            <w:r>
              <w:t>2</w:t>
            </w:r>
          </w:p>
        </w:tc>
        <w:tc>
          <w:tcPr>
            <w:vAlign w:val="center"/>
          </w:tcPr>
          <w:p>
            <w:r>
              <w:t>1</w:t>
            </w:r>
          </w:p>
        </w:tc>
        <w:tc>
          <w:tcPr>
            <w:vAlign w:val="center"/>
          </w:tcPr>
          <w:p>
            <w:r>
              <w:t>4.61</w:t>
            </w:r>
          </w:p>
        </w:tc>
        <w:tc>
          <w:tcPr>
            <w:vAlign w:val="center"/>
          </w:tcPr>
          <w:p>
            <w:r>
              <w:t>4.61</w:t>
            </w:r>
          </w:p>
        </w:tc>
        <w:tc>
          <w:tcPr>
            <w:vAlign w:val="center"/>
          </w:tcPr>
          <w:p>
            <w:r>
              <w:t>18</w:t>
            </w:r>
          </w:p>
        </w:tc>
        <w:tc>
          <w:tcPr>
            <w:vAlign w:val="center"/>
          </w:tcPr>
          <w:p>
            <w:r>
              <w:t>0.46</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7</w:t>
            </w:r>
          </w:p>
        </w:tc>
        <w:tc>
          <w:tcPr>
            <w:vAlign w:val="center"/>
          </w:tcPr>
          <w:p>
            <w:r>
              <w:t>C3630</w:t>
            </w:r>
          </w:p>
        </w:tc>
        <w:tc>
          <w:tcPr>
            <w:vAlign w:val="center"/>
          </w:tcPr>
          <w:p>
            <w:r>
              <w:t>3</w:t>
            </w:r>
          </w:p>
        </w:tc>
        <w:tc>
          <w:tcPr>
            <w:vAlign w:val="center"/>
          </w:tcPr>
          <w:p>
            <w:r>
              <w:t>1</w:t>
            </w:r>
          </w:p>
        </w:tc>
        <w:tc>
          <w:tcPr>
            <w:vAlign w:val="center"/>
          </w:tcPr>
          <w:p>
            <w:r>
              <w:t>10.80</w:t>
            </w:r>
          </w:p>
        </w:tc>
        <w:tc>
          <w:tcPr>
            <w:vAlign w:val="center"/>
          </w:tcPr>
          <w:p>
            <w:r>
              <w:t>10.80</w:t>
            </w:r>
          </w:p>
        </w:tc>
        <w:tc>
          <w:tcPr>
            <w:vAlign w:val="center"/>
          </w:tcPr>
          <w:p>
            <w:r>
              <w:t>18</w:t>
            </w:r>
          </w:p>
        </w:tc>
        <w:tc>
          <w:tcPr>
            <w:vAlign w:val="center"/>
          </w:tcPr>
          <w:p>
            <w:r>
              <w:t>0.46</w:t>
            </w:r>
          </w:p>
        </w:tc>
        <w:tc>
          <w:tcPr>
            <w:vAlign w:val="center"/>
          </w:tcPr>
          <w:p>
            <w:r>
              <w:t>活动遮阳0</w:t>
            </w:r>
          </w:p>
        </w:tc>
        <w:tc>
          <w:tcPr>
            <w:vAlign w:val="center"/>
          </w:tcPr>
          <w:p>
            <w:r>
              <w:t>否</w:t>
            </w:r>
          </w:p>
        </w:tc>
      </w:tr>
      <w:tr>
        <w:tblPrEx>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39.46</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4.西向</w:t>
      </w:r>
    </w:p>
    <w:p>
      <w:pPr>
        <w:widowControl w:val="0"/>
        <w:jc w:val="both"/>
        <w:rPr>
          <w:kern w:val="2"/>
          <w:lang w:val="en-US"/>
        </w:rPr>
      </w:pPr>
      <w:r>
        <w:rPr>
          <w:kern w:val="2"/>
          <w:lang w:val="en-US"/>
        </w:rPr>
        <w:t>无外窗</w:t>
      </w:r>
    </w:p>
    <w:p>
      <w:pPr>
        <w:pStyle w:val="4"/>
        <w:widowControl w:val="0"/>
        <w:jc w:val="both"/>
        <w:rPr>
          <w:kern w:val="2"/>
          <w:lang w:val="en-US"/>
        </w:rPr>
      </w:pPr>
      <w:bookmarkStart w:id="48" w:name="_Toc1355"/>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7.79</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0.00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39.46</w:t>
            </w:r>
          </w:p>
        </w:tc>
        <w:tc>
          <w:tcPr>
            <w:vAlign w:val="center"/>
          </w:tcPr>
          <w:p>
            <w:r>
              <w:t>活动外遮阳</w:t>
            </w:r>
          </w:p>
        </w:tc>
        <w:tc>
          <w:tcPr>
            <w:vAlign w:val="center"/>
          </w:tcPr>
          <w:p>
            <w:r>
              <w:t>39.46</w:t>
            </w:r>
          </w:p>
        </w:tc>
        <w:tc>
          <w:tcPr>
            <w:vAlign w:val="center"/>
          </w:tcPr>
          <w:p>
            <w:r>
              <w:t>1.2</w:t>
            </w:r>
          </w:p>
        </w:tc>
        <w:tc>
          <w:tcPr>
            <w:vAlign w:val="center"/>
          </w:tcPr>
          <w:p>
            <w:r>
              <w:t>47.35</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0.00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47.25</w:t>
            </w:r>
          </w:p>
        </w:tc>
        <w:tc>
          <w:tcPr>
            <w:vAlign w:val="center"/>
          </w:tcPr>
          <w:p>
            <w:r>
              <w:t>活动外遮阳</w:t>
            </w:r>
          </w:p>
        </w:tc>
        <w:tc>
          <w:tcPr>
            <w:vAlign w:val="center"/>
          </w:tcPr>
          <w:p>
            <w:r>
              <w:t>39.46</w:t>
            </w:r>
          </w:p>
        </w:tc>
        <w:tc>
          <w:tcPr>
            <w:vAlign w:val="center"/>
          </w:tcPr>
          <w:p>
            <w:r>
              <w:t>1.2</w:t>
            </w:r>
          </w:p>
        </w:tc>
        <w:tc>
          <w:tcPr>
            <w:vAlign w:val="center"/>
          </w:tcPr>
          <w:p>
            <w:r>
              <w:t>47.35</w:t>
            </w:r>
          </w:p>
        </w:tc>
        <w:tc>
          <w:tcPr>
            <w:vAlign w:val="center"/>
          </w:tcPr>
          <w:p>
            <w:r>
              <w:t>100</w:t>
            </w:r>
          </w:p>
        </w:tc>
      </w:tr>
    </w:tbl>
    <w:p>
      <w:pPr>
        <w:widowControl w:val="0"/>
        <w:jc w:val="both"/>
        <w:rPr>
          <w:kern w:val="2"/>
          <w:lang w:val="en-US"/>
        </w:rPr>
      </w:pPr>
    </w:p>
    <w:p>
      <w:pPr>
        <w:pStyle w:val="2"/>
        <w:widowControl w:val="0"/>
        <w:jc w:val="both"/>
        <w:rPr>
          <w:kern w:val="2"/>
          <w:lang w:val="en-US"/>
        </w:rPr>
      </w:pPr>
      <w:bookmarkStart w:id="49" w:name="_Toc10878"/>
      <w:r>
        <w:rPr>
          <w:kern w:val="2"/>
          <w:lang w:val="en-US"/>
        </w:rPr>
        <w:t>结论</w:t>
      </w:r>
      <w:bookmarkEnd w:id="49"/>
    </w:p>
    <w:p>
      <w:pPr>
        <w:widowControl w:val="0"/>
        <w:jc w:val="both"/>
        <w:rPr>
          <w:kern w:val="2"/>
          <w:lang w:val="en-US"/>
        </w:rPr>
      </w:pPr>
      <w:r>
        <w:rPr>
          <w:kern w:val="2"/>
          <w:lang w:val="en-US"/>
        </w:rPr>
        <w:t>本项目可调节遮阳设施的面积比例达到100%，依据《绿色建筑评价标准》GB/T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74C011A1"/>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74C01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autoRedefine/>
    <w:uiPriority w:val="99"/>
    <w:pPr>
      <w:tabs>
        <w:tab w:val="center" w:pos="4153"/>
        <w:tab w:val="right" w:pos="8306"/>
      </w:tabs>
      <w:snapToGrid w:val="0"/>
    </w:pPr>
    <w:rPr>
      <w:szCs w:val="18"/>
    </w:rPr>
  </w:style>
  <w:style w:type="paragraph" w:styleId="15">
    <w:name w:val="header"/>
    <w:basedOn w:val="1"/>
    <w:link w:val="27"/>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uiPriority w:val="0"/>
    <w:rPr>
      <w:color w:val="0000FF"/>
      <w:u w:val="single"/>
    </w:rPr>
  </w:style>
  <w:style w:type="character" w:customStyle="1" w:styleId="23">
    <w:name w:val="页脚 字符"/>
    <w:link w:val="14"/>
    <w:autoRedefine/>
    <w:qFormat/>
    <w:uiPriority w:val="99"/>
    <w:rPr>
      <w:sz w:val="21"/>
      <w:szCs w:val="18"/>
      <w:lang w:val="en-GB"/>
    </w:rPr>
  </w:style>
  <w:style w:type="paragraph" w:styleId="24">
    <w:name w:val="List Paragraph"/>
    <w:basedOn w:val="1"/>
    <w:autoRedefine/>
    <w:qFormat/>
    <w:uiPriority w:val="34"/>
    <w:pPr>
      <w:ind w:firstLine="420" w:firstLineChars="200"/>
    </w:pPr>
  </w:style>
  <w:style w:type="character" w:customStyle="1" w:styleId="25">
    <w:name w:val="标题 3 字符"/>
    <w:basedOn w:val="20"/>
    <w:link w:val="5"/>
    <w:autoRedefine/>
    <w:qFormat/>
    <w:uiPriority w:val="0"/>
    <w:rPr>
      <w:rFonts w:ascii="宋体" w:hAnsi="宋体" w:cs="Arial"/>
      <w:b/>
      <w:bCs/>
      <w:sz w:val="21"/>
      <w:szCs w:val="21"/>
    </w:rPr>
  </w:style>
  <w:style w:type="character" w:customStyle="1" w:styleId="26">
    <w:name w:val="标题 2 字符"/>
    <w:basedOn w:val="20"/>
    <w:link w:val="4"/>
    <w:autoRedefine/>
    <w:qFormat/>
    <w:uiPriority w:val="0"/>
    <w:rPr>
      <w:rFonts w:ascii="宋体" w:cs="Arial"/>
      <w:b/>
      <w:bCs/>
      <w:iCs/>
      <w:color w:val="000000"/>
      <w:sz w:val="24"/>
      <w:szCs w:val="24"/>
    </w:rPr>
  </w:style>
  <w:style w:type="character" w:customStyle="1" w:styleId="27">
    <w:name w:val="页眉 字符"/>
    <w:basedOn w:val="20"/>
    <w:link w:val="15"/>
    <w:autoRedefine/>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5</Pages>
  <Words>1253</Words>
  <Characters>1660</Characters>
  <Lines>8</Lines>
  <Paragraphs>2</Paragraphs>
  <TotalTime>0</TotalTime>
  <ScaleCrop>false</ScaleCrop>
  <LinksUpToDate>false</LinksUpToDate>
  <CharactersWithSpaces>1727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2024-03-16T06:47:00Z</dcterms:created>
  <dc:creator>RBbird.</dc:creator>
  <cp:lastModifiedBy>RBbird.</cp:lastModifiedBy>
  <dcterms:modified xsi:type="dcterms:W3CDTF">2024-03-16T06:47:08Z</dcterms:modified>
  <dc:title>外窗可调节遮阳设施比例计算书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8D68AD8D14BE4A67AC1B9292898F42D9_11</vt:lpwstr>
  </property>
  <property fmtid="{D5CDD505-2E9C-101B-9397-08002B2CF9AE}" pid="3" name="KSOProductBuildVer">
    <vt:lpwstr>2052-12.1.0.16250</vt:lpwstr>
  </property>
</Properties>
</file>