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pPr>
              <w:pStyle w:val="14"/>
              <w:tabs>
                <w:tab w:val="clear" w:pos="4153"/>
                <w:tab w:val="clear" w:pos="8306"/>
              </w:tabs>
              <w:snapToGrid/>
              <w:jc w:val="both"/>
              <w:rPr>
                <w:szCs w:val="21"/>
              </w:rPr>
            </w:pPr>
            <w:bookmarkStart w:id="0" w:name="项目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tcPr>
          <w:p>
            <w:pPr>
              <w:rPr>
                <w:szCs w:val="21"/>
              </w:rPr>
            </w:pPr>
            <w:bookmarkStart w:id="1" w:name="项目地点"/>
            <w:r>
              <w:t>普洱</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tcPr>
          <w:p>
            <w:pPr>
              <w:rPr>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tcPr>
          <w:p>
            <w:pPr>
              <w:rPr>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tcPr>
          <w:p>
            <w:pPr>
              <w:rPr>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5" w:name="报告日期"/>
            <w:r>
              <w:rPr>
                <w:rFonts w:hint="eastAsia"/>
                <w:szCs w:val="21"/>
              </w:rPr>
              <w:t>2024年02月20日</w:t>
            </w:r>
            <w:bookmarkEnd w:id="5"/>
          </w:p>
        </w:tc>
      </w:tr>
    </w:tbl>
    <w:p>
      <w:pPr>
        <w:jc w:val="center"/>
        <w:rPr>
          <w:b/>
          <w:sz w:val="56"/>
        </w:rPr>
      </w:pPr>
      <w:bookmarkStart w:id="6" w:name="二维码"/>
      <w:bookmarkEnd w:id="6"/>
      <w:r>
        <w:drawing>
          <wp:inline distT="0" distB="0" distL="0" distR="0">
            <wp:extent cx="1628775" cy="16287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1628946" cy="1628946"/>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7" w:name="采用软件"/>
            <w: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9" w:name="加密锁号"/>
            <w:r>
              <w:t>T15862176512</w:t>
            </w:r>
            <w:bookmarkEnd w:id="9"/>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right" w:leader="dot" w:pos="7910"/>
        </w:tabs>
      </w:pPr>
      <w:bookmarkStart w:id="43" w:name="_GoBack"/>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_Toc16122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_Toc16122 \h </w:instrText>
      </w:r>
      <w:r>
        <w:fldChar w:fldCharType="separate"/>
      </w:r>
      <w:r>
        <w:t>3</w:t>
      </w:r>
      <w:r>
        <w:fldChar w:fldCharType="end"/>
      </w:r>
      <w:r>
        <w:rPr>
          <w:rFonts w:ascii="Calibri" w:hAnsi="Calibri"/>
          <w:caps/>
          <w:szCs w:val="20"/>
        </w:rPr>
        <w:fldChar w:fldCharType="end"/>
      </w:r>
    </w:p>
    <w:p>
      <w:pPr>
        <w:pStyle w:val="17"/>
        <w:tabs>
          <w:tab w:val="right" w:leader="dot" w:pos="7910"/>
        </w:tabs>
      </w:pPr>
      <w:r>
        <w:rPr>
          <w:bCs/>
          <w:lang w:val="zh-CN"/>
        </w:rPr>
        <w:fldChar w:fldCharType="begin"/>
      </w:r>
      <w:r>
        <w:rPr>
          <w:bCs/>
          <w:lang w:val="zh-CN"/>
        </w:rPr>
        <w:instrText xml:space="preserve"> HYPERLINK \l _Toc24698 </w:instrText>
      </w:r>
      <w:r>
        <w:rPr>
          <w:bCs/>
          <w:lang w:val="zh-CN"/>
        </w:rPr>
        <w:fldChar w:fldCharType="separate"/>
      </w:r>
      <w:r>
        <w:rPr>
          <w:rFonts w:hint="eastAsia"/>
          <w:szCs w:val="24"/>
        </w:rPr>
        <w:t>1.1 建筑基本信息</w:t>
      </w:r>
      <w:r>
        <w:tab/>
      </w:r>
      <w:r>
        <w:fldChar w:fldCharType="begin"/>
      </w:r>
      <w:r>
        <w:instrText xml:space="preserve"> PAGEREF _Toc24698 \h </w:instrText>
      </w:r>
      <w:r>
        <w:fldChar w:fldCharType="separate"/>
      </w:r>
      <w:r>
        <w:t>3</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_Toc8278 </w:instrText>
      </w:r>
      <w:r>
        <w:rPr>
          <w:bCs/>
          <w:lang w:val="zh-CN"/>
        </w:rPr>
        <w:fldChar w:fldCharType="separate"/>
      </w:r>
      <w:r>
        <w:rPr>
          <w:rFonts w:hint="eastAsia"/>
          <w:szCs w:val="24"/>
        </w:rPr>
        <w:t>1.2 建筑</w:t>
      </w:r>
      <w:r>
        <w:rPr>
          <w:rFonts w:hint="eastAsia"/>
          <w:szCs w:val="24"/>
          <w:lang w:eastAsia="zh-CN"/>
        </w:rPr>
        <w:t>平面</w:t>
      </w:r>
      <w:r>
        <w:rPr>
          <w:rFonts w:hint="eastAsia"/>
          <w:szCs w:val="24"/>
        </w:rPr>
        <w:t>图</w:t>
      </w:r>
      <w:r>
        <w:tab/>
      </w:r>
      <w:r>
        <w:fldChar w:fldCharType="begin"/>
      </w:r>
      <w:r>
        <w:instrText xml:space="preserve"> PAGEREF _Toc8278 \h </w:instrText>
      </w:r>
      <w:r>
        <w:fldChar w:fldCharType="separate"/>
      </w:r>
      <w:r>
        <w:t>3</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_Toc12828 </w:instrText>
      </w:r>
      <w:r>
        <w:rPr>
          <w:bCs/>
          <w:lang w:val="zh-CN"/>
        </w:rPr>
        <w:fldChar w:fldCharType="separate"/>
      </w:r>
      <w:r>
        <w:rPr>
          <w:rFonts w:hint="eastAsia" w:ascii="Times New Roman" w:hAnsi="Times New Roman"/>
          <w:szCs w:val="24"/>
        </w:rPr>
        <w:t xml:space="preserve">1.3 </w:t>
      </w:r>
      <w:r>
        <w:rPr>
          <w:rFonts w:hint="eastAsia"/>
          <w:szCs w:val="24"/>
        </w:rPr>
        <w:t>建筑三维轴测图</w:t>
      </w:r>
      <w:r>
        <w:tab/>
      </w:r>
      <w:r>
        <w:fldChar w:fldCharType="begin"/>
      </w:r>
      <w:r>
        <w:instrText xml:space="preserve"> PAGEREF _Toc12828 \h </w:instrText>
      </w:r>
      <w:r>
        <w:fldChar w:fldCharType="separate"/>
      </w:r>
      <w:r>
        <w:t>5</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_Toc3437 </w:instrText>
      </w:r>
      <w:r>
        <w:rPr>
          <w:bCs/>
          <w:lang w:val="zh-CN"/>
        </w:rPr>
        <w:fldChar w:fldCharType="separate"/>
      </w:r>
      <w:r>
        <w:rPr>
          <w:rFonts w:hint="eastAsia" w:ascii="黑体" w:hAnsi="黑体"/>
          <w:kern w:val="32"/>
          <w:szCs w:val="28"/>
        </w:rPr>
        <w:t>1.4 参考标准</w:t>
      </w:r>
      <w:r>
        <w:tab/>
      </w:r>
      <w:r>
        <w:fldChar w:fldCharType="begin"/>
      </w:r>
      <w:r>
        <w:instrText xml:space="preserve"> PAGEREF _Toc3437 \h </w:instrText>
      </w:r>
      <w:r>
        <w:fldChar w:fldCharType="separate"/>
      </w:r>
      <w:r>
        <w:t>6</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_Toc31613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评价标准</w:t>
      </w:r>
      <w:r>
        <w:tab/>
      </w:r>
      <w:r>
        <w:fldChar w:fldCharType="begin"/>
      </w:r>
      <w:r>
        <w:instrText xml:space="preserve"> PAGEREF _Toc31613 \h </w:instrText>
      </w:r>
      <w:r>
        <w:fldChar w:fldCharType="separate"/>
      </w:r>
      <w:r>
        <w:t>6</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_Toc23408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计算原理</w:t>
      </w:r>
      <w:r>
        <w:tab/>
      </w:r>
      <w:r>
        <w:fldChar w:fldCharType="begin"/>
      </w:r>
      <w:r>
        <w:instrText xml:space="preserve"> PAGEREF _Toc23408 \h </w:instrText>
      </w:r>
      <w:r>
        <w:fldChar w:fldCharType="separate"/>
      </w:r>
      <w:r>
        <w:t>6</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_Toc32418 </w:instrText>
      </w:r>
      <w:r>
        <w:rPr>
          <w:bCs/>
          <w:lang w:val="zh-CN"/>
        </w:rPr>
        <w:fldChar w:fldCharType="separate"/>
      </w:r>
      <w:r>
        <w:rPr>
          <w:rFonts w:hint="default" w:ascii="Arial" w:hAnsi="Arial"/>
          <w:kern w:val="32"/>
          <w:szCs w:val="28"/>
        </w:rPr>
        <w:t xml:space="preserve">4 </w:t>
      </w:r>
      <w:r>
        <w:rPr>
          <w:rFonts w:hint="eastAsia"/>
          <w:kern w:val="32"/>
          <w:szCs w:val="28"/>
        </w:rPr>
        <w:t>计算参数</w:t>
      </w:r>
      <w:r>
        <w:tab/>
      </w:r>
      <w:r>
        <w:fldChar w:fldCharType="begin"/>
      </w:r>
      <w:r>
        <w:instrText xml:space="preserve"> PAGEREF _Toc32418 \h </w:instrText>
      </w:r>
      <w:r>
        <w:fldChar w:fldCharType="separate"/>
      </w:r>
      <w:r>
        <w:t>7</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_Toc18331 </w:instrText>
      </w:r>
      <w:r>
        <w:rPr>
          <w:bCs/>
          <w:lang w:val="zh-CN"/>
        </w:rPr>
        <w:fldChar w:fldCharType="separate"/>
      </w:r>
      <w:r>
        <w:rPr>
          <w:rFonts w:hint="eastAsia"/>
          <w:szCs w:val="24"/>
        </w:rPr>
        <w:t>4.1 渗透风量</w:t>
      </w:r>
      <w:r>
        <w:tab/>
      </w:r>
      <w:r>
        <w:fldChar w:fldCharType="begin"/>
      </w:r>
      <w:r>
        <w:instrText xml:space="preserve"> PAGEREF _Toc18331 \h </w:instrText>
      </w:r>
      <w:r>
        <w:fldChar w:fldCharType="separate"/>
      </w:r>
      <w:r>
        <w:t>8</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_Toc8693 </w:instrText>
      </w:r>
      <w:r>
        <w:rPr>
          <w:bCs/>
          <w:lang w:val="zh-CN"/>
        </w:rPr>
        <w:fldChar w:fldCharType="separate"/>
      </w:r>
      <w:r>
        <w:rPr>
          <w:rFonts w:hint="eastAsia"/>
          <w:szCs w:val="24"/>
        </w:rPr>
        <w:t>4.2 室内颗粒物源强</w:t>
      </w:r>
      <w:r>
        <w:tab/>
      </w:r>
      <w:r>
        <w:fldChar w:fldCharType="begin"/>
      </w:r>
      <w:r>
        <w:instrText xml:space="preserve"> PAGEREF _Toc8693 \h </w:instrText>
      </w:r>
      <w:r>
        <w:fldChar w:fldCharType="separate"/>
      </w:r>
      <w:r>
        <w:t>8</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_Toc19527 </w:instrText>
      </w:r>
      <w:r>
        <w:rPr>
          <w:bCs/>
          <w:lang w:val="zh-CN"/>
        </w:rPr>
        <w:fldChar w:fldCharType="separate"/>
      </w:r>
      <w:r>
        <w:rPr>
          <w:rFonts w:hint="eastAsia"/>
          <w:szCs w:val="24"/>
        </w:rPr>
        <w:t>4.3 室外颗粒物污染源浓度</w:t>
      </w:r>
      <w:r>
        <w:tab/>
      </w:r>
      <w:r>
        <w:fldChar w:fldCharType="begin"/>
      </w:r>
      <w:r>
        <w:instrText xml:space="preserve"> PAGEREF _Toc19527 \h </w:instrText>
      </w:r>
      <w:r>
        <w:fldChar w:fldCharType="separate"/>
      </w:r>
      <w:r>
        <w:t>8</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_Toc21915 </w:instrText>
      </w:r>
      <w:r>
        <w:rPr>
          <w:bCs/>
          <w:lang w:val="zh-CN"/>
        </w:rPr>
        <w:fldChar w:fldCharType="separate"/>
      </w:r>
      <w:r>
        <w:rPr>
          <w:rFonts w:hint="eastAsia"/>
          <w:szCs w:val="24"/>
        </w:rPr>
        <w:t>4.4 房间通风净化</w:t>
      </w:r>
      <w:r>
        <w:tab/>
      </w:r>
      <w:r>
        <w:fldChar w:fldCharType="begin"/>
      </w:r>
      <w:r>
        <w:instrText xml:space="preserve"> PAGEREF _Toc21915 \h </w:instrText>
      </w:r>
      <w:r>
        <w:fldChar w:fldCharType="separate"/>
      </w:r>
      <w:r>
        <w:t>8</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_Toc17269 </w:instrText>
      </w:r>
      <w:r>
        <w:rPr>
          <w:bCs/>
          <w:lang w:val="zh-CN"/>
        </w:rPr>
        <w:fldChar w:fldCharType="separate"/>
      </w:r>
      <w:r>
        <w:rPr>
          <w:rFonts w:hint="default" w:ascii="Arial" w:hAnsi="Arial" w:eastAsia="黑体"/>
          <w:kern w:val="32"/>
          <w:szCs w:val="28"/>
        </w:rPr>
        <w:t xml:space="preserve">5 </w:t>
      </w:r>
      <w:r>
        <w:rPr>
          <w:rFonts w:hint="eastAsia" w:ascii="黑体" w:hAnsi="黑体" w:eastAsia="黑体"/>
          <w:kern w:val="32"/>
          <w:szCs w:val="28"/>
        </w:rPr>
        <w:t>计算结果</w:t>
      </w:r>
      <w:r>
        <w:tab/>
      </w:r>
      <w:r>
        <w:fldChar w:fldCharType="begin"/>
      </w:r>
      <w:r>
        <w:instrText xml:space="preserve"> PAGEREF _Toc17269 \h </w:instrText>
      </w:r>
      <w:r>
        <w:fldChar w:fldCharType="separate"/>
      </w:r>
      <w:r>
        <w:t>8</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_Toc13398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结论</w:t>
      </w:r>
      <w:r>
        <w:tab/>
      </w:r>
      <w:r>
        <w:fldChar w:fldCharType="begin"/>
      </w:r>
      <w:r>
        <w:instrText xml:space="preserve"> PAGEREF _Toc13398 \h </w:instrText>
      </w:r>
      <w:r>
        <w:fldChar w:fldCharType="separate"/>
      </w:r>
      <w:r>
        <w:t>9</w:t>
      </w:r>
      <w:r>
        <w:fldChar w:fldCharType="end"/>
      </w:r>
      <w:r>
        <w:rPr>
          <w:bCs/>
          <w:lang w:val="zh-CN"/>
        </w:rP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43"/>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6122"/>
      <w:r>
        <w:rPr>
          <w:rFonts w:hint="eastAsia" w:ascii="黑体" w:hAnsi="黑体" w:eastAsia="黑体"/>
          <w:kern w:val="32"/>
          <w:sz w:val="28"/>
          <w:szCs w:val="28"/>
        </w:rPr>
        <w:t>项目概况</w:t>
      </w:r>
      <w:bookmarkEnd w:id="11"/>
    </w:p>
    <w:p>
      <w:pPr>
        <w:pStyle w:val="3"/>
        <w:rPr>
          <w:sz w:val="24"/>
          <w:szCs w:val="24"/>
        </w:rPr>
      </w:pPr>
      <w:bookmarkStart w:id="12" w:name="_Toc24698"/>
      <w:r>
        <w:rPr>
          <w:rFonts w:hint="eastAsia"/>
          <w:sz w:val="24"/>
          <w:szCs w:val="24"/>
        </w:rPr>
        <w:t>建筑基本信息</w:t>
      </w:r>
      <w:bookmarkEnd w:id="12"/>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3" w:name="地区"/>
            <w:r>
              <w:t>普洱</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234.56</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9.000</w:t>
            </w:r>
            <w:bookmarkEnd w:id="15"/>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6" w:name="_Toc8278"/>
      <w:r>
        <w:rPr>
          <w:rFonts w:hint="eastAsia"/>
          <w:sz w:val="24"/>
          <w:szCs w:val="24"/>
        </w:rPr>
        <w:t>建筑</w:t>
      </w:r>
      <w:r>
        <w:rPr>
          <w:rFonts w:hint="eastAsia"/>
          <w:sz w:val="24"/>
          <w:szCs w:val="24"/>
          <w:lang w:eastAsia="zh-CN"/>
        </w:rPr>
        <w:t>平面</w:t>
      </w:r>
      <w:r>
        <w:rPr>
          <w:rFonts w:hint="eastAsia"/>
          <w:sz w:val="24"/>
          <w:szCs w:val="24"/>
        </w:rPr>
        <w:t>图</w:t>
      </w:r>
      <w:bookmarkEnd w:id="16"/>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7" w:name="平面图"/>
      <w:bookmarkEnd w:id="17"/>
      <w:r>
        <w:drawing>
          <wp:inline distT="0" distB="0" distL="0" distR="0">
            <wp:extent cx="5667375" cy="63150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63150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64008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64008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8" w:name="_Toc12828"/>
      <w:r>
        <w:rPr>
          <w:rFonts w:hint="eastAsia"/>
          <w:sz w:val="24"/>
          <w:szCs w:val="24"/>
        </w:rPr>
        <w:t>建筑三维轴测图</w:t>
      </w:r>
      <w:bookmarkEnd w:id="18"/>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pPr>
        <w:jc w:val="center"/>
        <w:rPr>
          <w:rFonts w:ascii="Times New Roman" w:hAnsi="Times New Roman" w:cs="Times New Roman"/>
          <w:lang w:val="zh-CN" w:eastAsia="zh-CN"/>
        </w:rPr>
      </w:pPr>
    </w:p>
    <w:p>
      <w:pPr>
        <w:pStyle w:val="3"/>
        <w:rPr>
          <w:rFonts w:ascii="黑体" w:hAnsi="黑体"/>
          <w:kern w:val="32"/>
          <w:sz w:val="28"/>
          <w:szCs w:val="28"/>
        </w:rPr>
      </w:pPr>
      <w:bookmarkStart w:id="20" w:name="_Toc3437"/>
      <w:r>
        <w:rPr>
          <w:rFonts w:hint="eastAsia" w:ascii="黑体" w:hAnsi="黑体"/>
          <w:kern w:val="32"/>
          <w:sz w:val="28"/>
          <w:szCs w:val="28"/>
        </w:rPr>
        <w:t>参考标准</w:t>
      </w:r>
      <w:bookmarkEnd w:id="20"/>
    </w:p>
    <w:p>
      <w:pPr>
        <w:pStyle w:val="37"/>
        <w:numPr>
          <w:ilvl w:val="2"/>
          <w:numId w:val="3"/>
        </w:numPr>
        <w:spacing w:line="400" w:lineRule="exact"/>
        <w:ind w:firstLineChars="0"/>
        <w:rPr>
          <w:rFonts w:ascii="Times New Roman" w:hAnsi="Times New Roman"/>
        </w:rPr>
      </w:pPr>
      <w:r>
        <w:rPr>
          <w:rFonts w:ascii="Times New Roman" w:hAnsi="Times New Roman"/>
        </w:rPr>
        <w:t xml:space="preserve"> </w:t>
      </w:r>
      <w:bookmarkStart w:id="21" w:name="标准名称"/>
      <w:r>
        <w:t>《绿色建筑评价标准》GB/T 50378-2019</w:t>
      </w:r>
      <w:bookmarkEnd w:id="21"/>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31613"/>
      <w:r>
        <w:rPr>
          <w:rFonts w:hint="eastAsia" w:ascii="黑体" w:hAnsi="黑体" w:eastAsia="黑体"/>
          <w:kern w:val="32"/>
          <w:sz w:val="28"/>
          <w:szCs w:val="28"/>
        </w:rPr>
        <w:t>评价标准</w:t>
      </w:r>
      <w:bookmarkEnd w:id="22"/>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污染物浓度日均值的限值为0.15 mg/m</w:t>
      </w:r>
      <w:r>
        <w:rPr>
          <w:rFonts w:ascii="Times New Roman" w:hAnsi="Times New Roman" w:cs="Times New Roman"/>
          <w:color w:val="000000"/>
          <w:kern w:val="0"/>
          <w:szCs w:val="21"/>
          <w:vertAlign w:val="superscript"/>
        </w:rPr>
        <w:t xml:space="preserve">3 </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＜0.135（</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＜0.12（</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23408"/>
      <w:r>
        <w:rPr>
          <w:rFonts w:hint="eastAsia" w:ascii="黑体" w:hAnsi="黑体" w:eastAsia="黑体"/>
          <w:kern w:val="32"/>
          <w:sz w:val="28"/>
          <w:szCs w:val="28"/>
        </w:rPr>
        <w:t>计算原理</w:t>
      </w:r>
      <w:bookmarkEnd w:id="24"/>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5pt;width:410.2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5" w:name="_Toc32418"/>
      <w:r>
        <w:rPr>
          <w:rFonts w:hint="eastAsia"/>
          <w:kern w:val="32"/>
          <w:sz w:val="28"/>
          <w:szCs w:val="28"/>
        </w:rPr>
        <w:t>计算参数</w:t>
      </w:r>
      <w:bookmarkEnd w:id="25"/>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6" w:name="_Toc18331"/>
      <w:r>
        <w:rPr>
          <w:rFonts w:hint="eastAsia"/>
          <w:sz w:val="24"/>
          <w:szCs w:val="24"/>
        </w:rPr>
        <w:t>渗透风量</w:t>
      </w:r>
      <w:bookmarkEnd w:id="26"/>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7" w:name="渗透风量"/>
      <w:r>
        <w:t>本项目忽略渗透风量的影响。</w:t>
      </w:r>
      <w:bookmarkEnd w:id="27"/>
    </w:p>
    <w:p>
      <w:pPr>
        <w:pStyle w:val="3"/>
        <w:rPr>
          <w:sz w:val="24"/>
          <w:szCs w:val="24"/>
        </w:rPr>
      </w:pPr>
      <w:bookmarkStart w:id="28" w:name="_Toc8693"/>
      <w:r>
        <w:rPr>
          <w:rFonts w:hint="eastAsia"/>
          <w:sz w:val="24"/>
          <w:szCs w:val="24"/>
        </w:rPr>
        <w:t>室内颗粒物源强</w:t>
      </w:r>
      <w:bookmarkEnd w:id="28"/>
    </w:p>
    <w:p>
      <w:pPr>
        <w:jc w:val="center"/>
      </w:pPr>
      <w:bookmarkStart w:id="29" w:name="室内颗粒物源强表"/>
      <w:r>
        <w:t>该项目室内颗粒物源强为0。</w:t>
      </w:r>
      <w:bookmarkEnd w:id="29"/>
    </w:p>
    <w:p>
      <w:pPr>
        <w:jc w:val="center"/>
      </w:pPr>
    </w:p>
    <w:p>
      <w:pPr>
        <w:pStyle w:val="3"/>
        <w:rPr>
          <w:sz w:val="24"/>
          <w:szCs w:val="24"/>
        </w:rPr>
      </w:pPr>
      <w:bookmarkStart w:id="30" w:name="_Toc19527"/>
      <w:r>
        <w:rPr>
          <w:rFonts w:hint="eastAsia"/>
          <w:sz w:val="24"/>
          <w:szCs w:val="24"/>
        </w:rPr>
        <w:t>室外颗粒物污染源浓度</w:t>
      </w:r>
      <w:bookmarkEnd w:id="30"/>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31" w:name="室外颗粒物逐时浓度图"/>
      <w:bookmarkEnd w:id="31"/>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2" w:name="_Toc21915"/>
      <w:r>
        <w:rPr>
          <w:rFonts w:hint="eastAsia"/>
          <w:sz w:val="24"/>
          <w:szCs w:val="24"/>
        </w:rPr>
        <w:t>房间通风净化</w:t>
      </w:r>
      <w:bookmarkEnd w:id="32"/>
    </w:p>
    <w:p>
      <w:pPr>
        <w:jc w:val="center"/>
      </w:pPr>
    </w:p>
    <w:p>
      <w:pPr>
        <w:rPr>
          <w:lang w:val="zh-CN" w:eastAsia="zh-CN"/>
        </w:rPr>
      </w:pPr>
    </w:p>
    <w:p>
      <w:pPr>
        <w:jc w:val="center"/>
      </w:pPr>
      <w:bookmarkStart w:id="33" w:name="通风净化表"/>
      <w:bookmarkEnd w:id="33"/>
      <w:r>
        <w:rPr>
          <w:sz w:val="20"/>
          <w:szCs w:val="20"/>
        </w:rPr>
        <w:t>表5.4-1 新风加回风系统及对应参数表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新风量</w:t>
            </w:r>
            <w:r>
              <w:rPr>
                <w:b/>
              </w:rPr>
              <w:br w:type="textWrapping"/>
            </w:r>
            <w:r>
              <w:rPr>
                <w:b/>
              </w:rPr>
              <w:t>（m³/h）</w:t>
            </w:r>
          </w:p>
        </w:tc>
        <w:tc>
          <w:tcPr>
            <w:shd w:val="clear" w:color="auto" w:fill="E6E6E6"/>
            <w:vAlign w:val="center"/>
          </w:tcPr>
          <w:p>
            <w:pPr>
              <w:jc w:val="center"/>
            </w:pPr>
            <w:r>
              <w:rPr>
                <w:b/>
              </w:rPr>
              <w:t>新风</w:t>
            </w:r>
            <w:r>
              <w:rPr>
                <w:b/>
              </w:rPr>
              <w:br w:type="textWrapping"/>
            </w:r>
            <w:r>
              <w:rPr>
                <w:b/>
              </w:rPr>
              <w:t>净化效率</w:t>
            </w:r>
          </w:p>
        </w:tc>
        <w:tc>
          <w:tcPr>
            <w:shd w:val="clear" w:color="auto" w:fill="E6E6E6"/>
            <w:vAlign w:val="center"/>
          </w:tcPr>
          <w:p>
            <w:pPr>
              <w:jc w:val="center"/>
            </w:pPr>
            <w:r>
              <w:rPr>
                <w:b/>
              </w:rPr>
              <w:t>回风量</w:t>
            </w:r>
            <w:r>
              <w:rPr>
                <w:b/>
              </w:rPr>
              <w:br w:type="textWrapping"/>
            </w:r>
            <w:r>
              <w:rPr>
                <w:b/>
              </w:rPr>
              <w:t>（m³/h）</w:t>
            </w:r>
          </w:p>
        </w:tc>
        <w:tc>
          <w:tcPr>
            <w:shd w:val="clear" w:color="auto" w:fill="E6E6E6"/>
            <w:vAlign w:val="center"/>
          </w:tcPr>
          <w:p>
            <w:pPr>
              <w:jc w:val="center"/>
            </w:pPr>
            <w:r>
              <w:rPr>
                <w:b/>
              </w:rPr>
              <w:t>回风</w:t>
            </w:r>
            <w:r>
              <w:rPr>
                <w:b/>
              </w:rPr>
              <w:br w:type="textWrapping"/>
            </w:r>
            <w:r>
              <w:rPr>
                <w:b/>
              </w:rPr>
              <w:t>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center"/>
            </w:pPr>
            <w:r>
              <w:t>1001</w:t>
            </w:r>
          </w:p>
        </w:tc>
        <w:tc>
          <w:tcPr>
            <w:vAlign w:val="center"/>
          </w:tcPr>
          <w:p>
            <w:pPr>
              <w:jc w:val="center"/>
            </w:pPr>
            <w:r>
              <w:t>房间</w:t>
            </w:r>
          </w:p>
        </w:tc>
        <w:tc>
          <w:tcPr>
            <w:vAlign w:val="center"/>
          </w:tcPr>
          <w:p>
            <w:pPr>
              <w:jc w:val="center"/>
            </w:pPr>
            <w:r>
              <w:t>2180.4</w:t>
            </w:r>
          </w:p>
        </w:tc>
        <w:tc>
          <w:tcPr>
            <w:vAlign w:val="center"/>
          </w:tcPr>
          <w:p>
            <w:pPr>
              <w:jc w:val="center"/>
            </w:pPr>
            <w:r>
              <w:t>0.90</w:t>
            </w:r>
          </w:p>
        </w:tc>
        <w:tc>
          <w:tcPr>
            <w:vAlign w:val="center"/>
          </w:tcPr>
          <w:p>
            <w:pPr>
              <w:jc w:val="center"/>
            </w:pPr>
            <w:r>
              <w:t>5087.7</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2001</w:t>
            </w:r>
          </w:p>
        </w:tc>
        <w:tc>
          <w:tcPr>
            <w:vAlign w:val="center"/>
          </w:tcPr>
          <w:p>
            <w:pPr>
              <w:jc w:val="center"/>
            </w:pPr>
            <w:r>
              <w:t>房间</w:t>
            </w:r>
          </w:p>
        </w:tc>
        <w:tc>
          <w:tcPr>
            <w:vAlign w:val="center"/>
          </w:tcPr>
          <w:p>
            <w:pPr>
              <w:jc w:val="center"/>
            </w:pPr>
            <w:r>
              <w:t>1496.1</w:t>
            </w:r>
          </w:p>
        </w:tc>
        <w:tc>
          <w:tcPr>
            <w:vAlign w:val="center"/>
          </w:tcPr>
          <w:p>
            <w:pPr>
              <w:jc w:val="center"/>
            </w:pPr>
            <w:r>
              <w:t>0.90</w:t>
            </w:r>
          </w:p>
        </w:tc>
        <w:tc>
          <w:tcPr>
            <w:vAlign w:val="center"/>
          </w:tcPr>
          <w:p>
            <w:pPr>
              <w:jc w:val="center"/>
            </w:pPr>
            <w:r>
              <w:t>3490.9</w:t>
            </w:r>
          </w:p>
        </w:tc>
        <w:tc>
          <w:tcPr>
            <w:vAlign w:val="center"/>
          </w:tcPr>
          <w:p>
            <w:pPr>
              <w:jc w:val="center"/>
            </w:pPr>
            <w:r>
              <w:t>0.90</w:t>
            </w:r>
          </w:p>
        </w:tc>
      </w:tr>
    </w:tbl>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17269"/>
      <w:r>
        <w:rPr>
          <w:rFonts w:hint="eastAsia" w:ascii="黑体" w:hAnsi="黑体" w:eastAsia="黑体"/>
          <w:kern w:val="32"/>
          <w:sz w:val="28"/>
          <w:szCs w:val="28"/>
        </w:rPr>
        <w:t>计算结果</w:t>
      </w:r>
      <w:bookmarkEnd w:id="34"/>
    </w:p>
    <w:p>
      <w:pPr>
        <w:spacing w:after="156" w:afterLines="50"/>
        <w:ind w:firstLine="420" w:firstLineChars="200"/>
      </w:pPr>
      <w:r>
        <w:rPr>
          <w:rFonts w:hint="eastAsia"/>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PM2.5</w:t>
            </w:r>
          </w:p>
        </w:tc>
        <w:tc>
          <w:tcPr>
            <w:shd w:val="clear" w:color="auto" w:fill="E6E6E6"/>
            <w:vAlign w:val="center"/>
          </w:tcPr>
          <w:p>
            <w:pPr>
              <w:jc w:val="center"/>
            </w:pPr>
            <w:r>
              <w:rPr>
                <w:b/>
              </w:rPr>
              <w:t>PM10</w:t>
            </w:r>
          </w:p>
        </w:tc>
        <w:tc>
          <w:tcPr>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center"/>
            </w:pPr>
            <w:r>
              <w:t>1001</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2001</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bl>
    <w:p>
      <w:pPr>
        <w:jc w:val="center"/>
        <w:rPr>
          <w:b/>
        </w:rPr>
      </w:pPr>
      <w:bookmarkStart w:id="35" w:name="室内颗粒物达标判定表"/>
      <w:bookmarkEnd w:id="35"/>
    </w:p>
    <w:p>
      <w:pPr>
        <w:jc w:val="center"/>
        <w:rPr>
          <w:b/>
        </w:rPr>
      </w:pPr>
    </w:p>
    <w:p>
      <w:pPr>
        <w:jc w:val="center"/>
        <w:rPr>
          <w:b/>
        </w:rPr>
      </w:pPr>
      <w:bookmarkStart w:id="36" w:name="颗粒物达标判定图"/>
      <w:bookmarkEnd w:id="36"/>
      <w:r>
        <w:drawing>
          <wp:inline distT="0" distB="0" distL="0" distR="0">
            <wp:extent cx="5667375" cy="34004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6"/>
                    <a:stretch>
                      <a:fillRect/>
                    </a:stretch>
                  </pic:blipFill>
                  <pic:spPr>
                    <a:xfrm>
                      <a:off x="0" y="0"/>
                      <a:ext cx="5667375" cy="34004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jc w:val="center"/>
        <w:rPr>
          <w:rFonts w:ascii="Times New Roman" w:hAnsi="Times New Roman"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浓度值</w:t>
            </w:r>
          </w:p>
        </w:tc>
        <w:tc>
          <w:tcPr>
            <w:shd w:val="clear" w:color="auto" w:fill="E6E6E6"/>
            <w:vAlign w:val="center"/>
          </w:tcPr>
          <w:p>
            <w:pPr>
              <w:jc w:val="center"/>
            </w:pPr>
            <w:r>
              <w:rPr>
                <w:b/>
              </w:rPr>
              <w:t>一星级</w:t>
            </w:r>
            <w:r>
              <w:rPr>
                <w:b/>
              </w:rPr>
              <w:br w:type="textWrapping"/>
            </w:r>
            <w:r>
              <w:rPr>
                <w:b/>
              </w:rPr>
              <w:t>&lt;0.135（降低10%）</w:t>
            </w:r>
          </w:p>
        </w:tc>
        <w:tc>
          <w:tcPr>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center"/>
            </w:pPr>
            <w:r>
              <w:t>1001</w:t>
            </w:r>
          </w:p>
        </w:tc>
        <w:tc>
          <w:tcPr>
            <w:vAlign w:val="center"/>
          </w:tcPr>
          <w:p>
            <w:pPr>
              <w:jc w:val="center"/>
            </w:pPr>
            <w:r>
              <w:t>房间</w:t>
            </w:r>
          </w:p>
        </w:tc>
        <w:tc>
          <w:tcPr>
            <w:vAlign w:val="center"/>
          </w:tcPr>
          <w:p>
            <w:pPr>
              <w:jc w:val="center"/>
            </w:pPr>
            <w:r>
              <w:t>0.003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2001</w:t>
            </w:r>
          </w:p>
        </w:tc>
        <w:tc>
          <w:tcPr>
            <w:vAlign w:val="center"/>
          </w:tcPr>
          <w:p>
            <w:pPr>
              <w:jc w:val="center"/>
            </w:pPr>
            <w:r>
              <w:t>房间</w:t>
            </w:r>
          </w:p>
        </w:tc>
        <w:tc>
          <w:tcPr>
            <w:vAlign w:val="center"/>
          </w:tcPr>
          <w:p>
            <w:pPr>
              <w:jc w:val="center"/>
            </w:pPr>
            <w:r>
              <w:t>0.003</w:t>
            </w:r>
          </w:p>
        </w:tc>
        <w:tc>
          <w:tcPr>
            <w:vAlign w:val="center"/>
          </w:tcPr>
          <w:p>
            <w:pPr>
              <w:jc w:val="center"/>
            </w:pPr>
            <w:r>
              <w:rPr>
                <w:b/>
              </w:rPr>
              <w:t>达标</w:t>
            </w:r>
          </w:p>
        </w:tc>
        <w:tc>
          <w:tcPr>
            <w:vAlign w:val="center"/>
          </w:tcPr>
          <w:p>
            <w:pPr>
              <w:jc w:val="center"/>
            </w:pPr>
            <w:r>
              <w:rPr>
                <w:b/>
              </w:rPr>
              <w:t>达标</w:t>
            </w:r>
          </w:p>
        </w:tc>
      </w:tr>
    </w:tbl>
    <w:p>
      <w:pPr>
        <w:jc w:val="center"/>
        <w:rPr>
          <w:rFonts w:ascii="Times New Roman" w:hAnsi="Times New Roman" w:cs="Times New Roman"/>
          <w:b/>
          <w:szCs w:val="21"/>
        </w:rPr>
      </w:pPr>
      <w:bookmarkStart w:id="37" w:name="室内PM10日均值达标判定表"/>
      <w:bookmarkEnd w:id="37"/>
    </w:p>
    <w:p>
      <w:pPr>
        <w:jc w:val="center"/>
        <w:rPr>
          <w:rFonts w:ascii="Times New Roman" w:hAnsi="Times New Roman" w:cs="Times New Roman"/>
          <w:b/>
          <w:szCs w:val="21"/>
        </w:rPr>
      </w:pPr>
    </w:p>
    <w:p>
      <w:pPr>
        <w:jc w:val="center"/>
        <w:rPr>
          <w:rFonts w:ascii="Times New Roman" w:hAnsi="Times New Roman" w:cs="Times New Roman"/>
          <w:b/>
          <w:szCs w:val="21"/>
        </w:rPr>
      </w:pPr>
      <w:bookmarkStart w:id="38" w:name="PM10颗粒物逐日均值图"/>
      <w:bookmarkEnd w:id="38"/>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9" w:name="_Toc13398"/>
      <w:r>
        <w:rPr>
          <w:rFonts w:hint="eastAsia" w:ascii="黑体" w:hAnsi="黑体" w:eastAsia="黑体"/>
          <w:kern w:val="32"/>
          <w:sz w:val="28"/>
          <w:szCs w:val="28"/>
        </w:rPr>
        <w:t>结论</w:t>
      </w:r>
      <w:bookmarkEnd w:id="39"/>
    </w:p>
    <w:p>
      <w:pPr>
        <w:spacing w:after="156" w:afterLines="50"/>
        <w:ind w:firstLine="420"/>
      </w:pPr>
      <w:r>
        <w:rPr>
          <w:rFonts w:hint="eastAsia"/>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40" w:name="颗粒物计算结果"/>
            <w:r>
              <w:rPr>
                <w:rFonts w:ascii="Times New Roman" w:hAnsi="Times New Roman" w:cs="Times New Roman"/>
                <w:szCs w:val="20"/>
              </w:rPr>
              <w:t>PM2.5年均浓度0μg/m³
PM10年均浓度1μg/m³</w:t>
            </w:r>
            <w:bookmarkEnd w:id="40"/>
          </w:p>
        </w:tc>
        <w:tc>
          <w:tcPr>
            <w:tcW w:w="850" w:type="dxa"/>
            <w:shd w:val="clear" w:color="auto" w:fill="FEF2CC" w:themeFill="accent4" w:themeFillTint="33"/>
            <w:noWrap/>
            <w:vAlign w:val="center"/>
          </w:tcPr>
          <w:p>
            <w:pPr>
              <w:jc w:val="center"/>
              <w:rPr>
                <w:b/>
                <w:bCs/>
              </w:rPr>
            </w:pPr>
            <w:bookmarkStart w:id="41" w:name="颗粒物评分项结论"/>
            <w:r>
              <w:rPr>
                <w:b/>
                <w:bCs/>
              </w:rPr>
              <w:t>满足</w:t>
            </w:r>
            <w:bookmarkEnd w:id="41"/>
          </w:p>
        </w:tc>
        <w:tc>
          <w:tcPr>
            <w:tcW w:w="794" w:type="dxa"/>
            <w:shd w:val="clear" w:color="auto" w:fill="FEF2CC" w:themeFill="accent4" w:themeFillTint="33"/>
            <w:noWrap/>
            <w:vAlign w:val="center"/>
          </w:tcPr>
          <w:p>
            <w:pPr>
              <w:jc w:val="center"/>
              <w:rPr>
                <w:b/>
                <w:bCs/>
              </w:rPr>
            </w:pPr>
            <w:bookmarkStart w:id="42" w:name="颗粒物评分项得分"/>
            <w:r>
              <w:rPr>
                <w:b/>
                <w:bCs/>
              </w:rPr>
              <w:t>6</w:t>
            </w:r>
            <w:bookmarkEnd w:id="42"/>
            <w:r>
              <w:rPr>
                <w:rFonts w:hint="eastAsia"/>
                <w:b/>
                <w:bCs/>
              </w:rPr>
              <w:t>分</w:t>
            </w:r>
          </w:p>
        </w:tc>
      </w:tr>
    </w:tbl>
    <w:p>
      <w:pPr>
        <w:rPr>
          <w:lang w:val="zh-CN" w:eastAsia="zh-CN"/>
        </w:rPr>
      </w:pP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930024"/>
      <w:docPartObj>
        <w:docPartGallery w:val="AutoText"/>
      </w:docPartObj>
    </w:sdtPr>
    <w:sdtContent>
      <w:p>
        <w:pPr>
          <w:pStyle w:val="14"/>
          <w:jc w:val="center"/>
        </w:pPr>
        <w:r>
          <w:fldChar w:fldCharType="begin"/>
        </w:r>
        <w:r>
          <w:instrText xml:space="preserve">PAGE   \* MERGEFORMAT</w:instrText>
        </w:r>
        <w:r>
          <w:fldChar w:fldCharType="separate"/>
        </w:r>
        <w:r>
          <w:rPr>
            <w:lang w:val="zh-CN"/>
          </w:rPr>
          <w:t>6</w:t>
        </w:r>
        <w:r>
          <w:fldChar w:fldCharType="end"/>
        </w:r>
      </w:p>
    </w:sdtContent>
  </w:sdt>
  <w:p>
    <w:pPr>
      <w:pStyle w:val="1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MGZkMGRiYjA0ZWZhMzRkZjZjZWM0NTQxMWY5YzkifQ=="/>
  </w:docVars>
  <w:rsids>
    <w:rsidRoot w:val="7EA05F64"/>
    <w:rsid w:val="00002BA3"/>
    <w:rsid w:val="000136EE"/>
    <w:rsid w:val="00025F1E"/>
    <w:rsid w:val="00035395"/>
    <w:rsid w:val="000354B1"/>
    <w:rsid w:val="00042122"/>
    <w:rsid w:val="000515D9"/>
    <w:rsid w:val="00051980"/>
    <w:rsid w:val="00064EF1"/>
    <w:rsid w:val="00066F60"/>
    <w:rsid w:val="000764B5"/>
    <w:rsid w:val="00077C2D"/>
    <w:rsid w:val="00081740"/>
    <w:rsid w:val="00086E49"/>
    <w:rsid w:val="00094CB6"/>
    <w:rsid w:val="000969C6"/>
    <w:rsid w:val="0009759D"/>
    <w:rsid w:val="000B05C6"/>
    <w:rsid w:val="000B3E55"/>
    <w:rsid w:val="000C210B"/>
    <w:rsid w:val="000D5C1D"/>
    <w:rsid w:val="000E01A0"/>
    <w:rsid w:val="000F2869"/>
    <w:rsid w:val="000F3959"/>
    <w:rsid w:val="000F6B87"/>
    <w:rsid w:val="00101CE6"/>
    <w:rsid w:val="00120123"/>
    <w:rsid w:val="00122866"/>
    <w:rsid w:val="00151FC2"/>
    <w:rsid w:val="001526B8"/>
    <w:rsid w:val="00154D5D"/>
    <w:rsid w:val="00156B45"/>
    <w:rsid w:val="001765C5"/>
    <w:rsid w:val="00193280"/>
    <w:rsid w:val="001939BB"/>
    <w:rsid w:val="0019715D"/>
    <w:rsid w:val="001B04AD"/>
    <w:rsid w:val="001B6F86"/>
    <w:rsid w:val="001B75E2"/>
    <w:rsid w:val="001D35B1"/>
    <w:rsid w:val="001E4985"/>
    <w:rsid w:val="001E7907"/>
    <w:rsid w:val="001F2382"/>
    <w:rsid w:val="002112B9"/>
    <w:rsid w:val="002236FA"/>
    <w:rsid w:val="002255D3"/>
    <w:rsid w:val="002372AD"/>
    <w:rsid w:val="0024270B"/>
    <w:rsid w:val="00246F30"/>
    <w:rsid w:val="00252336"/>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23938"/>
    <w:rsid w:val="0033581E"/>
    <w:rsid w:val="0034616B"/>
    <w:rsid w:val="003472CD"/>
    <w:rsid w:val="00360573"/>
    <w:rsid w:val="00361C09"/>
    <w:rsid w:val="0037469D"/>
    <w:rsid w:val="0037770A"/>
    <w:rsid w:val="0039338C"/>
    <w:rsid w:val="00394A3E"/>
    <w:rsid w:val="003958C8"/>
    <w:rsid w:val="003B4EE2"/>
    <w:rsid w:val="003C3663"/>
    <w:rsid w:val="003E7013"/>
    <w:rsid w:val="003E7461"/>
    <w:rsid w:val="004269B5"/>
    <w:rsid w:val="00427A24"/>
    <w:rsid w:val="00441C7D"/>
    <w:rsid w:val="00446BA6"/>
    <w:rsid w:val="004574D6"/>
    <w:rsid w:val="00465382"/>
    <w:rsid w:val="00474233"/>
    <w:rsid w:val="0047522F"/>
    <w:rsid w:val="004776B1"/>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37D58"/>
    <w:rsid w:val="0055123D"/>
    <w:rsid w:val="0055156C"/>
    <w:rsid w:val="005575B0"/>
    <w:rsid w:val="00566FB7"/>
    <w:rsid w:val="00571148"/>
    <w:rsid w:val="00581CBA"/>
    <w:rsid w:val="00582CDB"/>
    <w:rsid w:val="005A1CE8"/>
    <w:rsid w:val="005A4C78"/>
    <w:rsid w:val="005B273D"/>
    <w:rsid w:val="005B6D12"/>
    <w:rsid w:val="005B7D64"/>
    <w:rsid w:val="005C0EFF"/>
    <w:rsid w:val="005C63F1"/>
    <w:rsid w:val="005E3859"/>
    <w:rsid w:val="005E4515"/>
    <w:rsid w:val="005E510C"/>
    <w:rsid w:val="00605B90"/>
    <w:rsid w:val="006068C3"/>
    <w:rsid w:val="00617188"/>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5457"/>
    <w:rsid w:val="007855C9"/>
    <w:rsid w:val="00793B6F"/>
    <w:rsid w:val="00796157"/>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6B6C"/>
    <w:rsid w:val="00A00A4C"/>
    <w:rsid w:val="00A020AD"/>
    <w:rsid w:val="00A1515C"/>
    <w:rsid w:val="00A16294"/>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524D0"/>
    <w:rsid w:val="00B558F1"/>
    <w:rsid w:val="00B606AE"/>
    <w:rsid w:val="00B72EEA"/>
    <w:rsid w:val="00B735CE"/>
    <w:rsid w:val="00B73CB8"/>
    <w:rsid w:val="00B76942"/>
    <w:rsid w:val="00B77CFD"/>
    <w:rsid w:val="00B82263"/>
    <w:rsid w:val="00B91795"/>
    <w:rsid w:val="00BC0D49"/>
    <w:rsid w:val="00BC2011"/>
    <w:rsid w:val="00BC3F82"/>
    <w:rsid w:val="00BE4774"/>
    <w:rsid w:val="00BE54A9"/>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732B0"/>
    <w:rsid w:val="00E77D71"/>
    <w:rsid w:val="00E80ACF"/>
    <w:rsid w:val="00E853C4"/>
    <w:rsid w:val="00E91D4C"/>
    <w:rsid w:val="00E93917"/>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34A0"/>
    <w:rsid w:val="00F36A82"/>
    <w:rsid w:val="00F37552"/>
    <w:rsid w:val="00F46686"/>
    <w:rsid w:val="00F538CE"/>
    <w:rsid w:val="00F56B42"/>
    <w:rsid w:val="00F63AC3"/>
    <w:rsid w:val="00F67E9C"/>
    <w:rsid w:val="00F77776"/>
    <w:rsid w:val="00F77D6B"/>
    <w:rsid w:val="00F87D86"/>
    <w:rsid w:val="00FA014C"/>
    <w:rsid w:val="00FA1701"/>
    <w:rsid w:val="00FB25BC"/>
    <w:rsid w:val="00FB47A9"/>
    <w:rsid w:val="00FB58E6"/>
    <w:rsid w:val="00FB6679"/>
    <w:rsid w:val="7EA0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38"/>
    <w:semiHidden/>
    <w:unhideWhenUsed/>
    <w:uiPriority w:val="99"/>
    <w:rPr>
      <w:sz w:val="18"/>
      <w:szCs w:val="18"/>
    </w:rPr>
  </w:style>
  <w:style w:type="paragraph" w:styleId="14">
    <w:name w:val="footer"/>
    <w:basedOn w:val="1"/>
    <w:link w:val="25"/>
    <w:unhideWhenUsed/>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toc 2"/>
    <w:basedOn w:val="1"/>
    <w:next w:val="1"/>
    <w:autoRedefine/>
    <w:qFormat/>
    <w:uiPriority w:val="39"/>
    <w:pPr>
      <w:widowControl/>
      <w:ind w:left="200" w:leftChars="200"/>
    </w:pPr>
    <w:rPr>
      <w:rFonts w:ascii="Times New Roman" w:hAnsi="Times New Roman" w:cs="Times New Roman"/>
      <w:szCs w:val="24"/>
    </w:rPr>
  </w:style>
  <w:style w:type="paragraph" w:styleId="18">
    <w:name w:val="annotation subject"/>
    <w:basedOn w:val="11"/>
    <w:next w:val="11"/>
    <w:link w:val="41"/>
    <w:semiHidden/>
    <w:unhideWhenUsed/>
    <w:uiPriority w:val="99"/>
    <w:rPr>
      <w:b/>
      <w:bCs/>
    </w:rPr>
  </w:style>
  <w:style w:type="table" w:styleId="20">
    <w:name w:val="Table Grid"/>
    <w:basedOn w:val="1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iPriority w:val="99"/>
    <w:rPr>
      <w:color w:val="0000FF"/>
      <w:u w:val="single"/>
    </w:rPr>
  </w:style>
  <w:style w:type="character" w:styleId="23">
    <w:name w:val="annotation reference"/>
    <w:basedOn w:val="21"/>
    <w:semiHidden/>
    <w:unhideWhenUsed/>
    <w:uiPriority w:val="99"/>
    <w:rPr>
      <w:sz w:val="16"/>
      <w:szCs w:val="16"/>
    </w:rPr>
  </w:style>
  <w:style w:type="character" w:customStyle="1" w:styleId="24">
    <w:name w:val="页眉 Char"/>
    <w:basedOn w:val="21"/>
    <w:link w:val="15"/>
    <w:uiPriority w:val="0"/>
    <w:rPr>
      <w:sz w:val="18"/>
      <w:szCs w:val="18"/>
    </w:rPr>
  </w:style>
  <w:style w:type="character" w:customStyle="1" w:styleId="25">
    <w:name w:val="页脚 Char"/>
    <w:basedOn w:val="21"/>
    <w:link w:val="14"/>
    <w:uiPriority w:val="99"/>
    <w:rPr>
      <w:sz w:val="18"/>
      <w:szCs w:val="18"/>
    </w:rPr>
  </w:style>
  <w:style w:type="character" w:customStyle="1" w:styleId="26">
    <w:name w:val="标题 2 字符"/>
    <w:basedOn w:val="21"/>
    <w:semiHidden/>
    <w:uiPriority w:val="9"/>
    <w:rPr>
      <w:rFonts w:asciiTheme="majorHAnsi" w:hAnsiTheme="majorHAnsi" w:eastAsiaTheme="majorEastAsia" w:cstheme="majorBidi"/>
      <w:b/>
      <w:bCs/>
      <w:sz w:val="32"/>
      <w:szCs w:val="32"/>
    </w:rPr>
  </w:style>
  <w:style w:type="character" w:customStyle="1" w:styleId="27">
    <w:name w:val="标题 3 Char"/>
    <w:basedOn w:val="21"/>
    <w:link w:val="4"/>
    <w:uiPriority w:val="0"/>
    <w:rPr>
      <w:rFonts w:ascii="Times New Roman" w:hAnsi="Times New Roman" w:eastAsia="黑体" w:cs="Times New Roman"/>
      <w:b/>
      <w:bCs/>
      <w:sz w:val="28"/>
      <w:szCs w:val="24"/>
      <w:lang w:val="zh-CN" w:eastAsia="zh-CN"/>
    </w:rPr>
  </w:style>
  <w:style w:type="character" w:customStyle="1" w:styleId="28">
    <w:name w:val="标题 4 Char"/>
    <w:basedOn w:val="21"/>
    <w:link w:val="5"/>
    <w:uiPriority w:val="0"/>
    <w:rPr>
      <w:rFonts w:ascii="Arial" w:hAnsi="Arial" w:eastAsia="黑体" w:cs="Times New Roman"/>
      <w:b/>
      <w:bCs/>
      <w:sz w:val="24"/>
      <w:szCs w:val="28"/>
    </w:rPr>
  </w:style>
  <w:style w:type="character" w:customStyle="1" w:styleId="29">
    <w:name w:val="标题 2 Char"/>
    <w:link w:val="3"/>
    <w:uiPriority w:val="0"/>
    <w:rPr>
      <w:rFonts w:ascii="Arial" w:hAnsi="Arial" w:eastAsia="黑体" w:cs="Times New Roman"/>
      <w:b/>
      <w:bCs/>
      <w:sz w:val="30"/>
      <w:szCs w:val="32"/>
      <w:lang w:val="zh-CN" w:eastAsia="zh-CN"/>
    </w:rPr>
  </w:style>
  <w:style w:type="character" w:customStyle="1" w:styleId="30">
    <w:name w:val="标题 1 Char"/>
    <w:basedOn w:val="21"/>
    <w:link w:val="2"/>
    <w:uiPriority w:val="9"/>
    <w:rPr>
      <w:b/>
      <w:bCs/>
      <w:kern w:val="44"/>
      <w:sz w:val="44"/>
      <w:szCs w:val="44"/>
    </w:rPr>
  </w:style>
  <w:style w:type="character" w:customStyle="1" w:styleId="31">
    <w:name w:val="标题 5 Char"/>
    <w:basedOn w:val="21"/>
    <w:link w:val="6"/>
    <w:uiPriority w:val="0"/>
    <w:rPr>
      <w:rFonts w:ascii="Arial" w:hAnsi="Arial" w:eastAsia="黑体" w:cs="Times New Roman"/>
      <w:b/>
      <w:sz w:val="28"/>
      <w:szCs w:val="28"/>
      <w:lang w:val="zh-CN" w:eastAsia="zh-CN"/>
    </w:rPr>
  </w:style>
  <w:style w:type="character" w:customStyle="1" w:styleId="32">
    <w:name w:val="标题 6 Char"/>
    <w:basedOn w:val="21"/>
    <w:link w:val="7"/>
    <w:uiPriority w:val="0"/>
    <w:rPr>
      <w:rFonts w:ascii="Arial" w:hAnsi="Arial" w:eastAsia="黑体" w:cs="Times New Roman"/>
      <w:b/>
      <w:bCs/>
      <w:sz w:val="24"/>
      <w:szCs w:val="24"/>
    </w:rPr>
  </w:style>
  <w:style w:type="character" w:customStyle="1" w:styleId="33">
    <w:name w:val="标题 7 Char"/>
    <w:basedOn w:val="21"/>
    <w:link w:val="8"/>
    <w:uiPriority w:val="0"/>
    <w:rPr>
      <w:rFonts w:ascii="Times New Roman" w:hAnsi="Times New Roman" w:eastAsia="宋体" w:cs="Times New Roman"/>
      <w:b/>
      <w:bCs/>
      <w:sz w:val="24"/>
      <w:szCs w:val="24"/>
    </w:rPr>
  </w:style>
  <w:style w:type="character" w:customStyle="1" w:styleId="34">
    <w:name w:val="标题 8 Char"/>
    <w:basedOn w:val="21"/>
    <w:link w:val="9"/>
    <w:uiPriority w:val="0"/>
    <w:rPr>
      <w:rFonts w:ascii="Arial" w:hAnsi="Arial" w:eastAsia="黑体" w:cs="Times New Roman"/>
      <w:sz w:val="24"/>
      <w:szCs w:val="24"/>
    </w:rPr>
  </w:style>
  <w:style w:type="character" w:customStyle="1" w:styleId="35">
    <w:name w:val="标题 9 Char"/>
    <w:basedOn w:val="21"/>
    <w:link w:val="10"/>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cs="Times New Roman"/>
    </w:rPr>
  </w:style>
  <w:style w:type="character" w:customStyle="1" w:styleId="38">
    <w:name w:val="批注框文本 Char"/>
    <w:basedOn w:val="21"/>
    <w:link w:val="13"/>
    <w:semiHidden/>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Char"/>
    <w:basedOn w:val="21"/>
    <w:link w:val="11"/>
    <w:semiHidden/>
    <w:uiPriority w:val="99"/>
    <w:rPr>
      <w:sz w:val="20"/>
      <w:szCs w:val="20"/>
    </w:rPr>
  </w:style>
  <w:style w:type="character" w:customStyle="1" w:styleId="41">
    <w:name w:val="批注主题 Char"/>
    <w:basedOn w:val="40"/>
    <w:link w:val="18"/>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7.jpeg"/><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tmp7.dotx</Template>
  <Pages>9</Pages>
  <Words>1826</Words>
  <Characters>2313</Characters>
  <Lines>22</Lines>
  <Paragraphs>6</Paragraphs>
  <TotalTime>0</TotalTime>
  <ScaleCrop>false</ScaleCrop>
  <LinksUpToDate>false</LinksUpToDate>
  <CharactersWithSpaces>2455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2024-02-20T10:31:00Z</dcterms:created>
  <dc:creator>RBbird.</dc:creator>
  <cp:lastModifiedBy>RBbird.</cp:lastModifiedBy>
  <dcterms:modified xsi:type="dcterms:W3CDTF">2024-02-20T10:31:34Z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429F5F5751D84795B0F40D795582ECD6_11</vt:lpwstr>
  </property>
  <property fmtid="{D5CDD505-2E9C-101B-9397-08002B2CF9AE}" pid="3" name="KSOProductBuildVer">
    <vt:lpwstr>2052-12.1.0.16250</vt:lpwstr>
  </property>
</Properties>
</file>