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bCs/>
          <w:kern w:val="0"/>
          <w:sz w:val="72"/>
          <w:szCs w:val="72"/>
          <w:lang w:val="en-GB"/>
        </w:rPr>
      </w:pPr>
    </w:p>
    <w:p>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pPr>
        <w:jc w:val="center"/>
        <w:rPr>
          <w:rFonts w:ascii="黑体" w:eastAsia="黑体"/>
          <w:b/>
          <w:bCs/>
          <w:kern w:val="0"/>
          <w:sz w:val="72"/>
          <w:szCs w:val="72"/>
          <w:lang w:val="en-GB"/>
        </w:rPr>
      </w:pPr>
      <w:r>
        <w:rPr>
          <w:rFonts w:hint="eastAsia" w:ascii="黑体" w:eastAsia="黑体"/>
          <w:b/>
          <w:bCs/>
          <w:kern w:val="0"/>
          <w:sz w:val="72"/>
          <w:szCs w:val="72"/>
          <w:lang w:val="en-GB"/>
        </w:rPr>
        <w:t>报告书</w:t>
      </w:r>
    </w:p>
    <w:p>
      <w:pPr>
        <w:jc w:val="center"/>
        <w:rPr>
          <w:b/>
          <w:sz w:val="52"/>
          <w:szCs w:val="21"/>
        </w:rPr>
      </w:pPr>
      <w:r>
        <w:rPr>
          <w:rFonts w:hint="eastAsia" w:ascii="黑体" w:eastAsia="黑体"/>
          <w:b/>
          <w:bCs/>
          <w:kern w:val="0"/>
          <w:sz w:val="56"/>
          <w:szCs w:val="56"/>
          <w:lang w:val="en-GB"/>
        </w:rPr>
        <w:t>可吸入颗粒物</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pPr>
              <w:pStyle w:val="14"/>
              <w:tabs>
                <w:tab w:val="clear" w:pos="4153"/>
                <w:tab w:val="clear" w:pos="8306"/>
              </w:tabs>
              <w:snapToGrid/>
              <w:jc w:val="both"/>
              <w:rPr>
                <w:szCs w:val="21"/>
              </w:rPr>
            </w:pPr>
            <w:bookmarkStart w:id="0" w:name="项目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工程地点</w:t>
            </w:r>
          </w:p>
        </w:tc>
        <w:tc>
          <w:tcPr>
            <w:tcW w:w="3780" w:type="dxa"/>
          </w:tcPr>
          <w:p>
            <w:pPr>
              <w:rPr>
                <w:szCs w:val="21"/>
              </w:rPr>
            </w:pPr>
            <w:bookmarkStart w:id="1" w:name="项目地点"/>
            <w:r>
              <w:t>普洱</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设计编号</w:t>
            </w:r>
          </w:p>
        </w:tc>
        <w:tc>
          <w:tcPr>
            <w:tcW w:w="3780" w:type="dxa"/>
          </w:tcPr>
          <w:p>
            <w:pPr>
              <w:rPr>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建设单位</w:t>
            </w:r>
          </w:p>
        </w:tc>
        <w:tc>
          <w:tcPr>
            <w:tcW w:w="3780" w:type="dxa"/>
          </w:tcPr>
          <w:p>
            <w:pPr>
              <w:rPr>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设计单位</w:t>
            </w:r>
          </w:p>
        </w:tc>
        <w:tc>
          <w:tcPr>
            <w:tcW w:w="3780" w:type="dxa"/>
          </w:tcPr>
          <w:p>
            <w:pPr>
              <w:rPr>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 计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校 对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审 核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审 定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pPr>
              <w:rPr>
                <w:b/>
                <w:bCs/>
                <w:szCs w:val="21"/>
              </w:rPr>
            </w:pPr>
            <w:r>
              <w:rPr>
                <w:rFonts w:hint="eastAsia"/>
                <w:b/>
                <w:bCs/>
                <w:szCs w:val="21"/>
              </w:rPr>
              <w:t>设计日期</w:t>
            </w:r>
          </w:p>
        </w:tc>
        <w:tc>
          <w:tcPr>
            <w:tcW w:w="3780" w:type="dxa"/>
          </w:tcPr>
          <w:p>
            <w:pPr>
              <w:rPr>
                <w:szCs w:val="21"/>
              </w:rPr>
            </w:pPr>
            <w:bookmarkStart w:id="5" w:name="报告日期"/>
            <w:r>
              <w:rPr>
                <w:rFonts w:hint="eastAsia"/>
                <w:szCs w:val="21"/>
              </w:rPr>
              <w:t>2024年02月20日</w:t>
            </w:r>
            <w:bookmarkEnd w:id="5"/>
          </w:p>
        </w:tc>
      </w:tr>
    </w:tbl>
    <w:p>
      <w:pPr>
        <w:jc w:val="center"/>
        <w:rPr>
          <w:b/>
          <w:sz w:val="56"/>
        </w:rPr>
      </w:pPr>
      <w:bookmarkStart w:id="6" w:name="二维码"/>
      <w:bookmarkEnd w:id="6"/>
      <w:r>
        <w:drawing>
          <wp:inline distT="0" distB="0" distL="0" distR="0">
            <wp:extent cx="1628775" cy="16287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1628946" cy="1628946"/>
                    </a:xfrm>
                    <a:prstGeom prst="rect">
                      <a:avLst/>
                    </a:prstGeom>
                  </pic:spPr>
                </pic:pic>
              </a:graphicData>
            </a:graphic>
          </wp:inline>
        </w:drawing>
      </w:r>
    </w:p>
    <w:p>
      <w:pPr>
        <w:jc w:val="center"/>
        <w:rPr>
          <w:b/>
          <w:sz w:val="56"/>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pPr>
              <w:widowControl/>
              <w:spacing w:line="240" w:lineRule="atLeast"/>
              <w:rPr>
                <w:rFonts w:cs="Times New Roman"/>
                <w:kern w:val="0"/>
                <w:sz w:val="18"/>
                <w:szCs w:val="18"/>
                <w:lang w:val="en-GB"/>
              </w:rPr>
            </w:pPr>
            <w:bookmarkStart w:id="7" w:name="采用软件"/>
            <w:r>
              <w:t>建筑通风Vent2023</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rPr>
                <w:szCs w:val="18"/>
              </w:rPr>
            </w:pPr>
            <w:bookmarkStart w:id="9" w:name="加密锁号"/>
            <w:r>
              <w:t>T15862176512</w:t>
            </w:r>
            <w:bookmarkEnd w:id="9"/>
          </w:p>
        </w:tc>
      </w:tr>
    </w:tbl>
    <w:p>
      <w:pPr>
        <w:jc w:val="center"/>
        <w:rPr>
          <w:b/>
          <w:sz w:val="56"/>
        </w:rPr>
      </w:pPr>
    </w:p>
    <w:p>
      <w:pPr>
        <w:tabs>
          <w:tab w:val="left" w:pos="1052"/>
        </w:tabs>
      </w:pPr>
    </w:p>
    <w:p>
      <w:pPr>
        <w:widowControl/>
        <w:spacing w:line="240" w:lineRule="atLeast"/>
      </w:pPr>
      <w:r>
        <w:br w:type="page"/>
      </w:r>
    </w:p>
    <w:p/>
    <w:p>
      <w:pPr>
        <w:pStyle w:val="36"/>
        <w:ind w:right="821" w:rightChars="391"/>
        <w:jc w:val="center"/>
        <w:rPr>
          <w:rFonts w:ascii="黑体" w:hAnsi="黑体" w:eastAsia="黑体"/>
          <w:color w:val="auto"/>
          <w:sz w:val="32"/>
        </w:rPr>
      </w:pPr>
      <w:r>
        <w:rPr>
          <w:rFonts w:ascii="黑体" w:hAnsi="黑体" w:eastAsia="黑体"/>
          <w:color w:val="auto"/>
          <w:sz w:val="32"/>
          <w:lang w:val="zh-CN" w:eastAsia="zh-CN"/>
        </w:rPr>
        <w:t>目录</w:t>
      </w:r>
    </w:p>
    <w:p>
      <w:pPr>
        <w:pStyle w:val="16"/>
        <w:tabs>
          <w:tab w:val="right" w:leader="dot" w:pos="7910"/>
        </w:tabs>
      </w:pPr>
      <w:bookmarkStart w:id="10" w:name="目录"/>
      <w:bookmarkStart w:id="43" w:name="_GoBack"/>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_Toc26457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_Toc26457 \h </w:instrText>
      </w:r>
      <w:r>
        <w:fldChar w:fldCharType="separate"/>
      </w:r>
      <w:r>
        <w:t>3</w:t>
      </w:r>
      <w:r>
        <w:fldChar w:fldCharType="end"/>
      </w:r>
      <w:r>
        <w:rPr>
          <w:rFonts w:ascii="Calibri" w:hAnsi="Calibri"/>
          <w:caps/>
          <w:szCs w:val="20"/>
        </w:rPr>
        <w:fldChar w:fldCharType="end"/>
      </w:r>
    </w:p>
    <w:p>
      <w:pPr>
        <w:pStyle w:val="17"/>
        <w:tabs>
          <w:tab w:val="right" w:leader="dot" w:pos="7910"/>
        </w:tabs>
      </w:pPr>
      <w:r>
        <w:rPr>
          <w:bCs/>
          <w:lang w:val="zh-CN"/>
        </w:rPr>
        <w:fldChar w:fldCharType="begin"/>
      </w:r>
      <w:r>
        <w:rPr>
          <w:bCs/>
          <w:lang w:val="zh-CN"/>
        </w:rPr>
        <w:instrText xml:space="preserve"> HYPERLINK \l _Toc30220 </w:instrText>
      </w:r>
      <w:r>
        <w:rPr>
          <w:bCs/>
          <w:lang w:val="zh-CN"/>
        </w:rPr>
        <w:fldChar w:fldCharType="separate"/>
      </w:r>
      <w:r>
        <w:rPr>
          <w:rFonts w:hint="eastAsia"/>
          <w:szCs w:val="24"/>
        </w:rPr>
        <w:t>1.1 建筑基本信息</w:t>
      </w:r>
      <w:r>
        <w:tab/>
      </w:r>
      <w:r>
        <w:fldChar w:fldCharType="begin"/>
      </w:r>
      <w:r>
        <w:instrText xml:space="preserve"> PAGEREF _Toc30220 \h </w:instrText>
      </w:r>
      <w:r>
        <w:fldChar w:fldCharType="separate"/>
      </w:r>
      <w:r>
        <w:t>3</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_Toc23580 </w:instrText>
      </w:r>
      <w:r>
        <w:rPr>
          <w:bCs/>
          <w:lang w:val="zh-CN"/>
        </w:rPr>
        <w:fldChar w:fldCharType="separate"/>
      </w:r>
      <w:r>
        <w:rPr>
          <w:rFonts w:hint="eastAsia"/>
          <w:szCs w:val="24"/>
        </w:rPr>
        <w:t>1.2 建筑</w:t>
      </w:r>
      <w:r>
        <w:rPr>
          <w:rFonts w:hint="eastAsia"/>
          <w:szCs w:val="24"/>
          <w:lang w:eastAsia="zh-CN"/>
        </w:rPr>
        <w:t>平面</w:t>
      </w:r>
      <w:r>
        <w:rPr>
          <w:rFonts w:hint="eastAsia"/>
          <w:szCs w:val="24"/>
        </w:rPr>
        <w:t>图</w:t>
      </w:r>
      <w:r>
        <w:tab/>
      </w:r>
      <w:r>
        <w:fldChar w:fldCharType="begin"/>
      </w:r>
      <w:r>
        <w:instrText xml:space="preserve"> PAGEREF _Toc23580 \h </w:instrText>
      </w:r>
      <w:r>
        <w:fldChar w:fldCharType="separate"/>
      </w:r>
      <w:r>
        <w:t>3</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_Toc20384 </w:instrText>
      </w:r>
      <w:r>
        <w:rPr>
          <w:bCs/>
          <w:lang w:val="zh-CN"/>
        </w:rPr>
        <w:fldChar w:fldCharType="separate"/>
      </w:r>
      <w:r>
        <w:rPr>
          <w:rFonts w:hint="eastAsia" w:ascii="Times New Roman" w:hAnsi="Times New Roman"/>
          <w:szCs w:val="24"/>
        </w:rPr>
        <w:t xml:space="preserve">1.3 </w:t>
      </w:r>
      <w:r>
        <w:rPr>
          <w:rFonts w:hint="eastAsia"/>
          <w:szCs w:val="24"/>
        </w:rPr>
        <w:t>建筑三维轴测图</w:t>
      </w:r>
      <w:r>
        <w:tab/>
      </w:r>
      <w:r>
        <w:fldChar w:fldCharType="begin"/>
      </w:r>
      <w:r>
        <w:instrText xml:space="preserve"> PAGEREF _Toc20384 \h </w:instrText>
      </w:r>
      <w:r>
        <w:fldChar w:fldCharType="separate"/>
      </w:r>
      <w:r>
        <w:t>4</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_Toc12138 </w:instrText>
      </w:r>
      <w:r>
        <w:rPr>
          <w:bCs/>
          <w:lang w:val="zh-CN"/>
        </w:rPr>
        <w:fldChar w:fldCharType="separate"/>
      </w:r>
      <w:r>
        <w:rPr>
          <w:rFonts w:hint="eastAsia" w:ascii="黑体" w:hAnsi="黑体"/>
          <w:kern w:val="32"/>
          <w:szCs w:val="28"/>
        </w:rPr>
        <w:t>1.4 参考标准</w:t>
      </w:r>
      <w:r>
        <w:tab/>
      </w:r>
      <w:r>
        <w:fldChar w:fldCharType="begin"/>
      </w:r>
      <w:r>
        <w:instrText xml:space="preserve"> PAGEREF _Toc12138 \h </w:instrText>
      </w:r>
      <w:r>
        <w:fldChar w:fldCharType="separate"/>
      </w:r>
      <w:r>
        <w:t>4</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_Toc7873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评价标准</w:t>
      </w:r>
      <w:r>
        <w:tab/>
      </w:r>
      <w:r>
        <w:fldChar w:fldCharType="begin"/>
      </w:r>
      <w:r>
        <w:instrText xml:space="preserve"> PAGEREF _Toc7873 \h </w:instrText>
      </w:r>
      <w:r>
        <w:fldChar w:fldCharType="separate"/>
      </w:r>
      <w:r>
        <w:t>5</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_Toc11147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计算原理</w:t>
      </w:r>
      <w:r>
        <w:tab/>
      </w:r>
      <w:r>
        <w:fldChar w:fldCharType="begin"/>
      </w:r>
      <w:r>
        <w:instrText xml:space="preserve"> PAGEREF _Toc11147 \h </w:instrText>
      </w:r>
      <w:r>
        <w:fldChar w:fldCharType="separate"/>
      </w:r>
      <w:r>
        <w:t>5</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_Toc8169 </w:instrText>
      </w:r>
      <w:r>
        <w:rPr>
          <w:bCs/>
          <w:lang w:val="zh-CN"/>
        </w:rPr>
        <w:fldChar w:fldCharType="separate"/>
      </w:r>
      <w:r>
        <w:rPr>
          <w:rFonts w:hint="default" w:ascii="Arial" w:hAnsi="Arial"/>
          <w:kern w:val="32"/>
          <w:szCs w:val="28"/>
        </w:rPr>
        <w:t xml:space="preserve">4 </w:t>
      </w:r>
      <w:r>
        <w:rPr>
          <w:rFonts w:hint="eastAsia"/>
          <w:kern w:val="32"/>
          <w:szCs w:val="28"/>
        </w:rPr>
        <w:t>计算参数</w:t>
      </w:r>
      <w:r>
        <w:tab/>
      </w:r>
      <w:r>
        <w:fldChar w:fldCharType="begin"/>
      </w:r>
      <w:r>
        <w:instrText xml:space="preserve"> PAGEREF _Toc8169 \h </w:instrText>
      </w:r>
      <w:r>
        <w:fldChar w:fldCharType="separate"/>
      </w:r>
      <w:r>
        <w:t>6</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_Toc12554 </w:instrText>
      </w:r>
      <w:r>
        <w:rPr>
          <w:bCs/>
          <w:lang w:val="zh-CN"/>
        </w:rPr>
        <w:fldChar w:fldCharType="separate"/>
      </w:r>
      <w:r>
        <w:rPr>
          <w:rFonts w:hint="eastAsia"/>
          <w:szCs w:val="24"/>
        </w:rPr>
        <w:t>4.1 渗透风量</w:t>
      </w:r>
      <w:r>
        <w:tab/>
      </w:r>
      <w:r>
        <w:fldChar w:fldCharType="begin"/>
      </w:r>
      <w:r>
        <w:instrText xml:space="preserve"> PAGEREF _Toc12554 \h </w:instrText>
      </w:r>
      <w:r>
        <w:fldChar w:fldCharType="separate"/>
      </w:r>
      <w:r>
        <w:t>7</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_Toc14251 </w:instrText>
      </w:r>
      <w:r>
        <w:rPr>
          <w:bCs/>
          <w:lang w:val="zh-CN"/>
        </w:rPr>
        <w:fldChar w:fldCharType="separate"/>
      </w:r>
      <w:r>
        <w:rPr>
          <w:rFonts w:hint="eastAsia"/>
          <w:szCs w:val="24"/>
        </w:rPr>
        <w:t>4.2 室内颗粒物源强</w:t>
      </w:r>
      <w:r>
        <w:tab/>
      </w:r>
      <w:r>
        <w:fldChar w:fldCharType="begin"/>
      </w:r>
      <w:r>
        <w:instrText xml:space="preserve"> PAGEREF _Toc14251 \h </w:instrText>
      </w:r>
      <w:r>
        <w:fldChar w:fldCharType="separate"/>
      </w:r>
      <w:r>
        <w:t>7</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_Toc10156 </w:instrText>
      </w:r>
      <w:r>
        <w:rPr>
          <w:bCs/>
          <w:lang w:val="zh-CN"/>
        </w:rPr>
        <w:fldChar w:fldCharType="separate"/>
      </w:r>
      <w:r>
        <w:rPr>
          <w:rFonts w:hint="eastAsia"/>
          <w:szCs w:val="24"/>
        </w:rPr>
        <w:t>4.3 室外颗粒物污染源浓度</w:t>
      </w:r>
      <w:r>
        <w:tab/>
      </w:r>
      <w:r>
        <w:fldChar w:fldCharType="begin"/>
      </w:r>
      <w:r>
        <w:instrText xml:space="preserve"> PAGEREF _Toc10156 \h </w:instrText>
      </w:r>
      <w:r>
        <w:fldChar w:fldCharType="separate"/>
      </w:r>
      <w:r>
        <w:t>7</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_Toc30250 </w:instrText>
      </w:r>
      <w:r>
        <w:rPr>
          <w:bCs/>
          <w:lang w:val="zh-CN"/>
        </w:rPr>
        <w:fldChar w:fldCharType="separate"/>
      </w:r>
      <w:r>
        <w:rPr>
          <w:rFonts w:hint="eastAsia"/>
          <w:szCs w:val="24"/>
        </w:rPr>
        <w:t>4.4 房间通风净化</w:t>
      </w:r>
      <w:r>
        <w:tab/>
      </w:r>
      <w:r>
        <w:fldChar w:fldCharType="begin"/>
      </w:r>
      <w:r>
        <w:instrText xml:space="preserve"> PAGEREF _Toc30250 \h </w:instrText>
      </w:r>
      <w:r>
        <w:fldChar w:fldCharType="separate"/>
      </w:r>
      <w:r>
        <w:t>7</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_Toc28827 </w:instrText>
      </w:r>
      <w:r>
        <w:rPr>
          <w:bCs/>
          <w:lang w:val="zh-CN"/>
        </w:rPr>
        <w:fldChar w:fldCharType="separate"/>
      </w:r>
      <w:r>
        <w:rPr>
          <w:rFonts w:hint="default" w:ascii="Arial" w:hAnsi="Arial" w:eastAsia="黑体"/>
          <w:kern w:val="32"/>
          <w:szCs w:val="28"/>
        </w:rPr>
        <w:t xml:space="preserve">5 </w:t>
      </w:r>
      <w:r>
        <w:rPr>
          <w:rFonts w:hint="eastAsia" w:ascii="黑体" w:hAnsi="黑体" w:eastAsia="黑体"/>
          <w:kern w:val="32"/>
          <w:szCs w:val="28"/>
        </w:rPr>
        <w:t>计算结果</w:t>
      </w:r>
      <w:r>
        <w:tab/>
      </w:r>
      <w:r>
        <w:fldChar w:fldCharType="begin"/>
      </w:r>
      <w:r>
        <w:instrText xml:space="preserve"> PAGEREF _Toc28827 \h </w:instrText>
      </w:r>
      <w:r>
        <w:fldChar w:fldCharType="separate"/>
      </w:r>
      <w:r>
        <w:t>7</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_Toc19256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结论</w:t>
      </w:r>
      <w:r>
        <w:tab/>
      </w:r>
      <w:r>
        <w:fldChar w:fldCharType="begin"/>
      </w:r>
      <w:r>
        <w:instrText xml:space="preserve"> PAGEREF _Toc19256 \h </w:instrText>
      </w:r>
      <w:r>
        <w:fldChar w:fldCharType="separate"/>
      </w:r>
      <w:r>
        <w:t>8</w:t>
      </w:r>
      <w:r>
        <w:fldChar w:fldCharType="end"/>
      </w:r>
      <w:r>
        <w:rPr>
          <w:bCs/>
          <w:lang w:val="zh-CN"/>
        </w:rPr>
        <w:fldChar w:fldCharType="end"/>
      </w:r>
    </w:p>
    <w:p>
      <w:pPr>
        <w:spacing w:line="360" w:lineRule="auto"/>
        <w:jc w:val="center"/>
        <w:rPr>
          <w:sz w:val="32"/>
        </w:rPr>
        <w:sectPr>
          <w:footerReference r:id="rId7" w:type="first"/>
          <w:headerReference r:id="rId3" w:type="default"/>
          <w:footerReference r:id="rId5" w:type="default"/>
          <w:headerReference r:id="rId4" w:type="even"/>
          <w:footerReference r:id="rId6"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bookmarkEnd w:id="43"/>
    </w:p>
    <w:p>
      <w:pPr>
        <w:spacing w:before="156"/>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26457"/>
      <w:r>
        <w:rPr>
          <w:rFonts w:hint="eastAsia" w:ascii="黑体" w:hAnsi="黑体" w:eastAsia="黑体"/>
          <w:kern w:val="32"/>
          <w:sz w:val="28"/>
          <w:szCs w:val="28"/>
        </w:rPr>
        <w:t>项目概况</w:t>
      </w:r>
      <w:bookmarkEnd w:id="11"/>
    </w:p>
    <w:p>
      <w:pPr>
        <w:pStyle w:val="3"/>
        <w:rPr>
          <w:sz w:val="24"/>
          <w:szCs w:val="24"/>
        </w:rPr>
      </w:pPr>
      <w:bookmarkStart w:id="12" w:name="_Toc30220"/>
      <w:r>
        <w:rPr>
          <w:rFonts w:hint="eastAsia"/>
          <w:sz w:val="24"/>
          <w:szCs w:val="24"/>
        </w:rPr>
        <w:t>建筑基本信息</w:t>
      </w:r>
      <w:bookmarkEnd w:id="12"/>
    </w:p>
    <w:tbl>
      <w:tblPr>
        <w:tblStyle w:val="19"/>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bookmarkStart w:id="13" w:name="地区"/>
            <w:r>
              <w:t>普洱</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135.91</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6.000</w:t>
            </w:r>
            <w:bookmarkEnd w:id="15"/>
            <w:r>
              <w:rPr>
                <w:rFonts w:ascii="Times New Roman" w:hAnsi="Times New Roman" w:cs="Times New Roman" w:eastAsiaTheme="minorHAnsi"/>
                <w:color w:val="000000"/>
                <w:kern w:val="0"/>
                <w:szCs w:val="21"/>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r>
    </w:tbl>
    <w:p>
      <w:pPr>
        <w:pStyle w:val="3"/>
        <w:rPr>
          <w:sz w:val="24"/>
          <w:szCs w:val="24"/>
        </w:rPr>
      </w:pPr>
      <w:bookmarkStart w:id="16" w:name="_Toc23580"/>
      <w:r>
        <w:rPr>
          <w:rFonts w:hint="eastAsia"/>
          <w:sz w:val="24"/>
          <w:szCs w:val="24"/>
        </w:rPr>
        <w:t>建筑</w:t>
      </w:r>
      <w:r>
        <w:rPr>
          <w:rFonts w:hint="eastAsia"/>
          <w:sz w:val="24"/>
          <w:szCs w:val="24"/>
          <w:lang w:eastAsia="zh-CN"/>
        </w:rPr>
        <w:t>平面</w:t>
      </w:r>
      <w:r>
        <w:rPr>
          <w:rFonts w:hint="eastAsia"/>
          <w:sz w:val="24"/>
          <w:szCs w:val="24"/>
        </w:rPr>
        <w:t>图</w:t>
      </w:r>
      <w:bookmarkEnd w:id="16"/>
    </w:p>
    <w:p>
      <w:pPr>
        <w:rPr>
          <w:highlight w:val="red"/>
          <w:lang w:val="zh-CN" w:eastAsia="zh-CN"/>
        </w:rPr>
      </w:pPr>
    </w:p>
    <w:p>
      <w:pPr>
        <w:jc w:val="center"/>
        <w:rPr>
          <w:lang w:val="zh-CN" w:eastAsia="zh-CN"/>
        </w:rPr>
      </w:pPr>
    </w:p>
    <w:p>
      <w:pPr>
        <w:jc w:val="center"/>
        <w:rPr>
          <w:rFonts w:ascii="微软雅黑" w:hAnsi="微软雅黑" w:eastAsia="微软雅黑"/>
          <w:b/>
          <w:sz w:val="18"/>
          <w:lang w:val="zh-CN" w:eastAsia="zh-CN"/>
        </w:rPr>
      </w:pPr>
      <w:bookmarkStart w:id="17" w:name="平面图"/>
      <w:bookmarkEnd w:id="17"/>
      <w:r>
        <w:drawing>
          <wp:inline distT="0" distB="0" distL="0" distR="0">
            <wp:extent cx="5667375" cy="56769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567690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pPr>
        <w:jc w:val="center"/>
        <w:rPr>
          <w:rFonts w:ascii="微软雅黑" w:hAnsi="微软雅黑" w:eastAsia="微软雅黑"/>
          <w:b/>
          <w:sz w:val="18"/>
          <w:lang w:val="zh-CN" w:eastAsia="zh-CN"/>
        </w:rPr>
      </w:pPr>
    </w:p>
    <w:p>
      <w:pPr>
        <w:jc w:val="center"/>
        <w:rPr>
          <w:lang w:val="zh-CN" w:eastAsia="zh-CN"/>
        </w:rPr>
      </w:pPr>
    </w:p>
    <w:p>
      <w:pPr>
        <w:pStyle w:val="3"/>
        <w:rPr>
          <w:rFonts w:ascii="Times New Roman" w:hAnsi="Times New Roman"/>
          <w:sz w:val="24"/>
          <w:szCs w:val="24"/>
        </w:rPr>
      </w:pPr>
      <w:bookmarkStart w:id="18" w:name="_Toc20384"/>
      <w:r>
        <w:rPr>
          <w:rFonts w:hint="eastAsia"/>
          <w:sz w:val="24"/>
          <w:szCs w:val="24"/>
        </w:rPr>
        <w:t>建筑三维轴测图</w:t>
      </w:r>
      <w:bookmarkEnd w:id="18"/>
    </w:p>
    <w:p>
      <w:pPr>
        <w:jc w:val="center"/>
        <w:rPr>
          <w:rFonts w:ascii="Times New Roman" w:hAnsi="Times New Roman" w:cs="Times New Roman"/>
          <w:lang w:val="zh-CN" w:eastAsia="zh-CN"/>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pPr>
              <w:jc w:val="center"/>
              <w:rPr>
                <w:rFonts w:ascii="微软雅黑" w:hAnsi="微软雅黑" w:eastAsia="微软雅黑" w:cs="Times New Roman"/>
                <w:b/>
                <w:sz w:val="18"/>
                <w:szCs w:val="18"/>
                <w:lang w:val="zh-CN" w:eastAsia="zh-CN"/>
              </w:rPr>
            </w:pPr>
            <w:bookmarkStart w:id="19" w:name="三维视图"/>
            <w:r>
              <w:t>请先在[模型观察]命令中保存图片！</w:t>
            </w:r>
            <w:bookmarkEnd w:id="19"/>
          </w:p>
        </w:tc>
      </w:tr>
    </w:tbl>
    <w:p>
      <w:pPr>
        <w:jc w:val="center"/>
        <w:rPr>
          <w:rFonts w:ascii="Times New Roman" w:hAnsi="Times New Roman" w:cs="Times New Roman"/>
          <w:lang w:val="zh-CN" w:eastAsia="zh-CN"/>
        </w:rPr>
      </w:pPr>
    </w:p>
    <w:p>
      <w:pPr>
        <w:pStyle w:val="3"/>
        <w:rPr>
          <w:rFonts w:ascii="黑体" w:hAnsi="黑体"/>
          <w:kern w:val="32"/>
          <w:sz w:val="28"/>
          <w:szCs w:val="28"/>
        </w:rPr>
      </w:pPr>
      <w:bookmarkStart w:id="20" w:name="_Toc12138"/>
      <w:r>
        <w:rPr>
          <w:rFonts w:hint="eastAsia" w:ascii="黑体" w:hAnsi="黑体"/>
          <w:kern w:val="32"/>
          <w:sz w:val="28"/>
          <w:szCs w:val="28"/>
        </w:rPr>
        <w:t>参考标准</w:t>
      </w:r>
      <w:bookmarkEnd w:id="20"/>
    </w:p>
    <w:p>
      <w:pPr>
        <w:pStyle w:val="37"/>
        <w:numPr>
          <w:ilvl w:val="2"/>
          <w:numId w:val="3"/>
        </w:numPr>
        <w:spacing w:line="400" w:lineRule="exact"/>
        <w:ind w:firstLineChars="0"/>
        <w:rPr>
          <w:rFonts w:ascii="Times New Roman" w:hAnsi="Times New Roman"/>
        </w:rPr>
      </w:pPr>
      <w:r>
        <w:rPr>
          <w:rFonts w:ascii="Times New Roman" w:hAnsi="Times New Roman"/>
        </w:rPr>
        <w:t xml:space="preserve"> </w:t>
      </w:r>
      <w:bookmarkStart w:id="21" w:name="标准名称"/>
      <w:r>
        <w:t>《绿色建筑评价标准》GB/T 50378-2019</w:t>
      </w:r>
      <w:bookmarkEnd w:id="21"/>
    </w:p>
    <w:p>
      <w:pPr>
        <w:pStyle w:val="37"/>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pPr>
        <w:pStyle w:val="37"/>
        <w:numPr>
          <w:ilvl w:val="2"/>
          <w:numId w:val="3"/>
        </w:numPr>
        <w:spacing w:line="400" w:lineRule="exact"/>
        <w:ind w:firstLineChars="0"/>
        <w:rPr>
          <w:rFonts w:ascii="Times New Roman" w:hAnsi="Times New Roman"/>
        </w:rPr>
      </w:pPr>
      <w:r>
        <w:rPr>
          <w:rFonts w:ascii="Times New Roman" w:hAnsi="Times New Roman"/>
        </w:rPr>
        <w:t>《室内空气质量标准》GB/T 18883</w:t>
      </w:r>
    </w:p>
    <w:p>
      <w:pPr>
        <w:pStyle w:val="37"/>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pPr>
        <w:pStyle w:val="37"/>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pPr>
        <w:pStyle w:val="37"/>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pPr>
        <w:pStyle w:val="37"/>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7873"/>
      <w:r>
        <w:rPr>
          <w:rFonts w:hint="eastAsia" w:ascii="黑体" w:hAnsi="黑体" w:eastAsia="黑体"/>
          <w:kern w:val="32"/>
          <w:sz w:val="28"/>
          <w:szCs w:val="28"/>
        </w:rPr>
        <w:t>评价标准</w:t>
      </w:r>
      <w:bookmarkEnd w:id="22"/>
    </w:p>
    <w:p>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19"/>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污染物浓度日均值的限值为0.15 mg/m</w:t>
      </w:r>
      <w:r>
        <w:rPr>
          <w:rFonts w:ascii="Times New Roman" w:hAnsi="Times New Roman" w:cs="Times New Roman"/>
          <w:color w:val="000000"/>
          <w:kern w:val="0"/>
          <w:szCs w:val="21"/>
          <w:vertAlign w:val="superscript"/>
        </w:rPr>
        <w:t xml:space="preserve">3 </w:t>
      </w:r>
      <w:r>
        <w:rPr>
          <w:rFonts w:ascii="Times New Roman" w:hAnsi="Times New Roman" w:cs="Times New Roman"/>
          <w:color w:val="000000"/>
          <w:kern w:val="0"/>
          <w:szCs w:val="21"/>
        </w:rPr>
        <w:t>。</w:t>
      </w: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19"/>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47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4769"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4769" w:type="dxa"/>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＜0.135（</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4769" w:type="dxa"/>
            <w:vMerge w:val="restart"/>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＜0.12（</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4769" w:type="dxa"/>
            <w:vMerge w:val="continue"/>
            <w:vAlign w:val="center"/>
          </w:tcPr>
          <w:p>
            <w:pPr>
              <w:jc w:val="center"/>
              <w:rPr>
                <w:rFonts w:ascii="等线" w:hAnsi="等线" w:eastAsia="等线"/>
                <w:bCs/>
              </w:rPr>
            </w:pPr>
          </w:p>
        </w:tc>
      </w:tr>
    </w:tbl>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11147"/>
      <w:r>
        <w:rPr>
          <w:rFonts w:hint="eastAsia" w:ascii="黑体" w:hAnsi="黑体" w:eastAsia="黑体"/>
          <w:kern w:val="32"/>
          <w:sz w:val="28"/>
          <w:szCs w:val="28"/>
        </w:rPr>
        <w:t>计算原理</w:t>
      </w:r>
      <w:bookmarkEnd w:id="24"/>
    </w:p>
    <w:p>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4151498" cy="2790476"/>
                    </a:xfrm>
                    <a:prstGeom prst="rect">
                      <a:avLst/>
                    </a:prstGeom>
                  </pic:spPr>
                </pic:pic>
              </a:graphicData>
            </a:graphic>
          </wp:inline>
        </w:drawing>
      </w:r>
    </w:p>
    <w:p>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pPr>
        <w:spacing w:before="156"/>
        <w:ind w:firstLine="105" w:firstLineChars="50"/>
        <w:rPr>
          <w:lang w:val="zh-CN"/>
        </w:rPr>
      </w:pPr>
      <w:r>
        <w:rPr>
          <w:position w:val="-24"/>
        </w:rPr>
        <w:object>
          <v:shape id="_x0000_i1025" o:spt="75" type="#_x0000_t75" style="height:28.55pt;width:410.2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pPr>
        <w:pStyle w:val="2"/>
        <w:keepLines w:val="0"/>
        <w:widowControl/>
        <w:numPr>
          <w:ilvl w:val="0"/>
          <w:numId w:val="1"/>
        </w:numPr>
        <w:kinsoku w:val="0"/>
        <w:spacing w:before="240" w:after="60" w:line="240" w:lineRule="auto"/>
        <w:jc w:val="left"/>
        <w:rPr>
          <w:kern w:val="32"/>
          <w:sz w:val="28"/>
          <w:szCs w:val="28"/>
        </w:rPr>
      </w:pPr>
      <w:bookmarkStart w:id="25" w:name="_Toc8169"/>
      <w:r>
        <w:rPr>
          <w:rFonts w:hint="eastAsia"/>
          <w:kern w:val="32"/>
          <w:sz w:val="28"/>
          <w:szCs w:val="28"/>
        </w:rPr>
        <w:t>计算参数</w:t>
      </w:r>
      <w:bookmarkEnd w:id="25"/>
    </w:p>
    <w:p>
      <w:pPr>
        <w:ind w:firstLine="420" w:firstLineChars="200"/>
      </w:pPr>
      <w:r>
        <w:rPr>
          <w:rFonts w:hint="eastAsia"/>
        </w:rPr>
        <w:t>本项目对室内颗粒物浓度进行计算并评价，计算所需输入的参数主要为污染物源强以及通风净化措施见下述小节。</w:t>
      </w:r>
    </w:p>
    <w:p>
      <w:pPr>
        <w:pStyle w:val="3"/>
        <w:rPr>
          <w:sz w:val="24"/>
          <w:szCs w:val="24"/>
        </w:rPr>
      </w:pPr>
      <w:bookmarkStart w:id="26" w:name="_Toc12554"/>
      <w:r>
        <w:rPr>
          <w:rFonts w:hint="eastAsia"/>
          <w:sz w:val="24"/>
          <w:szCs w:val="24"/>
        </w:rPr>
        <w:t>渗透风量</w:t>
      </w:r>
      <w:bookmarkEnd w:id="26"/>
    </w:p>
    <w:p>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pPr>
        <w:ind w:left="-36" w:leftChars="-17" w:firstLine="420" w:firstLineChars="200"/>
        <w:rPr>
          <w:lang w:val="zh-CN"/>
        </w:rPr>
      </w:pPr>
      <w:bookmarkStart w:id="27" w:name="渗透风量"/>
      <w:r>
        <w:t>本项目忽略渗透风量的影响。</w:t>
      </w:r>
      <w:bookmarkEnd w:id="27"/>
    </w:p>
    <w:p>
      <w:pPr>
        <w:pStyle w:val="3"/>
        <w:rPr>
          <w:sz w:val="24"/>
          <w:szCs w:val="24"/>
        </w:rPr>
      </w:pPr>
      <w:bookmarkStart w:id="28" w:name="_Toc14251"/>
      <w:r>
        <w:rPr>
          <w:rFonts w:hint="eastAsia"/>
          <w:sz w:val="24"/>
          <w:szCs w:val="24"/>
        </w:rPr>
        <w:t>室内颗粒物源强</w:t>
      </w:r>
      <w:bookmarkEnd w:id="28"/>
    </w:p>
    <w:p>
      <w:pPr>
        <w:jc w:val="center"/>
      </w:pPr>
      <w:bookmarkStart w:id="29" w:name="室内颗粒物源强表"/>
      <w:r>
        <w:t>该项目室内颗粒物源强为0。</w:t>
      </w:r>
      <w:bookmarkEnd w:id="29"/>
    </w:p>
    <w:p>
      <w:pPr>
        <w:jc w:val="center"/>
      </w:pPr>
    </w:p>
    <w:p>
      <w:pPr>
        <w:pStyle w:val="3"/>
        <w:rPr>
          <w:sz w:val="24"/>
          <w:szCs w:val="24"/>
        </w:rPr>
      </w:pPr>
      <w:bookmarkStart w:id="30" w:name="_Toc10156"/>
      <w:r>
        <w:rPr>
          <w:rFonts w:hint="eastAsia"/>
          <w:sz w:val="24"/>
          <w:szCs w:val="24"/>
        </w:rPr>
        <w:t>室外颗粒物污染源浓度</w:t>
      </w:r>
      <w:bookmarkEnd w:id="30"/>
    </w:p>
    <w:p>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pPr>
        <w:jc w:val="center"/>
        <w:rPr>
          <w:rFonts w:ascii="Times New Roman" w:hAnsi="Times New Roman" w:cs="Times New Roman"/>
          <w:b/>
          <w:bCs/>
          <w:color w:val="000000"/>
        </w:rPr>
      </w:pPr>
      <w:bookmarkStart w:id="31" w:name="室外颗粒物逐时浓度图"/>
      <w:bookmarkEnd w:id="31"/>
    </w:p>
    <w:p>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pPr>
        <w:pStyle w:val="3"/>
        <w:rPr>
          <w:sz w:val="24"/>
          <w:szCs w:val="24"/>
        </w:rPr>
      </w:pPr>
      <w:bookmarkStart w:id="32" w:name="_Toc30250"/>
      <w:r>
        <w:rPr>
          <w:rFonts w:hint="eastAsia"/>
          <w:sz w:val="24"/>
          <w:szCs w:val="24"/>
        </w:rPr>
        <w:t>房间通风净化</w:t>
      </w:r>
      <w:bookmarkEnd w:id="32"/>
    </w:p>
    <w:p>
      <w:pPr>
        <w:jc w:val="center"/>
      </w:pPr>
    </w:p>
    <w:p>
      <w:pPr>
        <w:rPr>
          <w:lang w:val="zh-CN" w:eastAsia="zh-CN"/>
        </w:rPr>
      </w:pPr>
    </w:p>
    <w:p>
      <w:pPr>
        <w:jc w:val="center"/>
      </w:pPr>
      <w:bookmarkStart w:id="33" w:name="通风净化表"/>
      <w:bookmarkEnd w:id="33"/>
      <w:r>
        <w:rPr>
          <w:sz w:val="20"/>
          <w:szCs w:val="20"/>
        </w:rPr>
        <w:t>表5.4-1 新风加回风系统及对应参数表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697"/>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新风量</w:t>
            </w:r>
            <w:r>
              <w:rPr>
                <w:b/>
              </w:rPr>
              <w:br w:type="textWrapping"/>
            </w:r>
            <w:r>
              <w:rPr>
                <w:b/>
              </w:rPr>
              <w:t>（m³/h）</w:t>
            </w:r>
          </w:p>
        </w:tc>
        <w:tc>
          <w:tcPr>
            <w:shd w:val="clear" w:color="auto" w:fill="E6E6E6"/>
            <w:vAlign w:val="center"/>
          </w:tcPr>
          <w:p>
            <w:pPr>
              <w:jc w:val="center"/>
            </w:pPr>
            <w:r>
              <w:rPr>
                <w:b/>
              </w:rPr>
              <w:t>新风</w:t>
            </w:r>
            <w:r>
              <w:rPr>
                <w:b/>
              </w:rPr>
              <w:br w:type="textWrapping"/>
            </w:r>
            <w:r>
              <w:rPr>
                <w:b/>
              </w:rPr>
              <w:t>净化效率</w:t>
            </w:r>
          </w:p>
        </w:tc>
        <w:tc>
          <w:tcPr>
            <w:shd w:val="clear" w:color="auto" w:fill="E6E6E6"/>
            <w:vAlign w:val="center"/>
          </w:tcPr>
          <w:p>
            <w:pPr>
              <w:jc w:val="center"/>
            </w:pPr>
            <w:r>
              <w:rPr>
                <w:b/>
              </w:rPr>
              <w:t>回风量</w:t>
            </w:r>
            <w:r>
              <w:rPr>
                <w:b/>
              </w:rPr>
              <w:br w:type="textWrapping"/>
            </w:r>
            <w:r>
              <w:rPr>
                <w:b/>
              </w:rPr>
              <w:t>（m³/h）</w:t>
            </w:r>
          </w:p>
        </w:tc>
        <w:tc>
          <w:tcPr>
            <w:shd w:val="clear" w:color="auto" w:fill="E6E6E6"/>
            <w:vAlign w:val="center"/>
          </w:tcPr>
          <w:p>
            <w:pPr>
              <w:jc w:val="center"/>
            </w:pPr>
            <w:r>
              <w:rPr>
                <w:b/>
              </w:rPr>
              <w:t>回风</w:t>
            </w:r>
            <w:r>
              <w:rPr>
                <w:b/>
              </w:rPr>
              <w:br w:type="textWrapping"/>
            </w:r>
            <w:r>
              <w:rPr>
                <w:b/>
              </w:rPr>
              <w:t>净化效率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1001</w:t>
            </w:r>
          </w:p>
        </w:tc>
        <w:tc>
          <w:tcPr>
            <w:vAlign w:val="center"/>
          </w:tcPr>
          <w:p>
            <w:pPr>
              <w:jc w:val="center"/>
            </w:pPr>
            <w:r>
              <w:t>房间</w:t>
            </w:r>
          </w:p>
        </w:tc>
        <w:tc>
          <w:tcPr>
            <w:vAlign w:val="center"/>
          </w:tcPr>
          <w:p>
            <w:pPr>
              <w:jc w:val="center"/>
            </w:pPr>
            <w:r>
              <w:t>2222.3</w:t>
            </w:r>
          </w:p>
        </w:tc>
        <w:tc>
          <w:tcPr>
            <w:vAlign w:val="center"/>
          </w:tcPr>
          <w:p>
            <w:pPr>
              <w:jc w:val="center"/>
            </w:pPr>
            <w:r>
              <w:t>0.90</w:t>
            </w:r>
          </w:p>
        </w:tc>
        <w:tc>
          <w:tcPr>
            <w:vAlign w:val="center"/>
          </w:tcPr>
          <w:p>
            <w:pPr>
              <w:jc w:val="center"/>
            </w:pPr>
            <w:r>
              <w:t>5185.5</w:t>
            </w:r>
          </w:p>
        </w:tc>
        <w:tc>
          <w:tcPr>
            <w:vAlign w:val="center"/>
          </w:tcPr>
          <w:p>
            <w:pPr>
              <w:jc w:val="center"/>
            </w:pPr>
            <w:r>
              <w:t>0.90</w:t>
            </w:r>
          </w:p>
        </w:tc>
      </w:tr>
    </w:tbl>
    <w:p>
      <w:pPr>
        <w:jc w:val="cente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28827"/>
      <w:r>
        <w:rPr>
          <w:rFonts w:hint="eastAsia" w:ascii="黑体" w:hAnsi="黑体" w:eastAsia="黑体"/>
          <w:kern w:val="32"/>
          <w:sz w:val="28"/>
          <w:szCs w:val="28"/>
        </w:rPr>
        <w:t>计算结果</w:t>
      </w:r>
      <w:bookmarkEnd w:id="34"/>
    </w:p>
    <w:p>
      <w:pPr>
        <w:spacing w:after="156" w:afterLines="50"/>
        <w:ind w:firstLine="420" w:firstLineChars="200"/>
      </w:pPr>
      <w:r>
        <w:rPr>
          <w:rFonts w:hint="eastAsia"/>
        </w:rPr>
        <w:t>本项目按照标准对参评房间颗粒物进行计算，并对照标准进行达标判定，结果如下：</w:t>
      </w:r>
    </w:p>
    <w:p>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PM2.5</w:t>
            </w:r>
          </w:p>
        </w:tc>
        <w:tc>
          <w:tcPr>
            <w:shd w:val="clear" w:color="auto" w:fill="E6E6E6"/>
            <w:vAlign w:val="center"/>
          </w:tcPr>
          <w:p>
            <w:pPr>
              <w:jc w:val="center"/>
            </w:pPr>
            <w:r>
              <w:rPr>
                <w:b/>
              </w:rPr>
              <w:t>PM10</w:t>
            </w:r>
          </w:p>
        </w:tc>
        <w:tc>
          <w:tcPr>
            <w:shd w:val="clear" w:color="auto" w:fill="E6E6E6"/>
            <w:vAlign w:val="center"/>
          </w:tcPr>
          <w:p>
            <w:pPr>
              <w:jc w:val="center"/>
            </w:pPr>
            <w:r>
              <w:rPr>
                <w:b/>
              </w:rPr>
              <w:t>评分项是否达标</w:t>
            </w:r>
            <w:r>
              <w:rPr>
                <w:b/>
              </w:rPr>
              <w:br w:type="textWrapping"/>
            </w:r>
            <w:r>
              <w:rPr>
                <w:b/>
              </w:rPr>
              <w:t>PM2.5≤25 PM10≤50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1001</w:t>
            </w:r>
          </w:p>
        </w:tc>
        <w:tc>
          <w:tcPr>
            <w:vAlign w:val="center"/>
          </w:tcPr>
          <w:p>
            <w:pPr>
              <w:jc w:val="center"/>
            </w:pPr>
            <w:r>
              <w:t>房间</w:t>
            </w:r>
          </w:p>
        </w:tc>
        <w:tc>
          <w:tcPr>
            <w:vAlign w:val="center"/>
          </w:tcPr>
          <w:p>
            <w:pPr>
              <w:jc w:val="center"/>
            </w:pPr>
            <w:r>
              <w:t>0</w:t>
            </w:r>
          </w:p>
        </w:tc>
        <w:tc>
          <w:tcPr>
            <w:vAlign w:val="center"/>
          </w:tcPr>
          <w:p>
            <w:pPr>
              <w:jc w:val="center"/>
            </w:pPr>
            <w:r>
              <w:t>1</w:t>
            </w:r>
          </w:p>
        </w:tc>
        <w:tc>
          <w:tcPr>
            <w:vAlign w:val="center"/>
          </w:tcPr>
          <w:p>
            <w:pPr>
              <w:jc w:val="center"/>
            </w:pPr>
            <w:r>
              <w:rPr>
                <w:b/>
              </w:rPr>
              <w:t>达标</w:t>
            </w:r>
          </w:p>
        </w:tc>
      </w:tr>
    </w:tbl>
    <w:p>
      <w:pPr>
        <w:jc w:val="center"/>
        <w:rPr>
          <w:b/>
        </w:rPr>
      </w:pPr>
      <w:bookmarkStart w:id="35" w:name="室内颗粒物达标判定表"/>
      <w:bookmarkEnd w:id="35"/>
    </w:p>
    <w:p>
      <w:pPr>
        <w:jc w:val="center"/>
        <w:rPr>
          <w:b/>
        </w:rPr>
      </w:pPr>
    </w:p>
    <w:p>
      <w:pPr>
        <w:jc w:val="center"/>
        <w:rPr>
          <w:b/>
        </w:rPr>
      </w:pPr>
      <w:bookmarkStart w:id="36" w:name="颗粒物达标判定图"/>
      <w:bookmarkEnd w:id="36"/>
      <w:r>
        <w:drawing>
          <wp:inline distT="0" distB="0" distL="0" distR="0">
            <wp:extent cx="5667375" cy="34004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3400425"/>
                    </a:xfrm>
                    <a:prstGeom prst="rect">
                      <a:avLst/>
                    </a:prstGeom>
                  </pic:spPr>
                </pic:pic>
              </a:graphicData>
            </a:graphic>
          </wp:inline>
        </w:drawing>
      </w:r>
    </w:p>
    <w:p>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pPr>
        <w:jc w:val="center"/>
        <w:rPr>
          <w:rFonts w:ascii="Times New Roman" w:hAnsi="Times New Roman" w:cs="Times New Roman"/>
          <w:b/>
          <w:szCs w:val="21"/>
        </w:rPr>
      </w:pPr>
    </w:p>
    <w:p>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浓度值</w:t>
            </w:r>
          </w:p>
        </w:tc>
        <w:tc>
          <w:tcPr>
            <w:shd w:val="clear" w:color="auto" w:fill="E6E6E6"/>
            <w:vAlign w:val="center"/>
          </w:tcPr>
          <w:p>
            <w:pPr>
              <w:jc w:val="center"/>
            </w:pPr>
            <w:r>
              <w:rPr>
                <w:b/>
              </w:rPr>
              <w:t>一星级</w:t>
            </w:r>
            <w:r>
              <w:rPr>
                <w:b/>
              </w:rPr>
              <w:br w:type="textWrapping"/>
            </w:r>
            <w:r>
              <w:rPr>
                <w:b/>
              </w:rPr>
              <w:t>&lt;0.135（降低10%）</w:t>
            </w:r>
          </w:p>
        </w:tc>
        <w:tc>
          <w:tcPr>
            <w:shd w:val="clear" w:color="auto" w:fill="E6E6E6"/>
            <w:vAlign w:val="center"/>
          </w:tcPr>
          <w:p>
            <w:pPr>
              <w:jc w:val="center"/>
            </w:pPr>
            <w:r>
              <w:rPr>
                <w:b/>
              </w:rPr>
              <w:t>二/三星级</w:t>
            </w:r>
            <w:r>
              <w:rPr>
                <w:b/>
              </w:rPr>
              <w:br w:type="textWrapping"/>
            </w:r>
            <w:r>
              <w:rPr>
                <w:b/>
              </w:rPr>
              <w:t>&lt;0.12（降低20%）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1001</w:t>
            </w:r>
          </w:p>
        </w:tc>
        <w:tc>
          <w:tcPr>
            <w:vAlign w:val="center"/>
          </w:tcPr>
          <w:p>
            <w:pPr>
              <w:jc w:val="center"/>
            </w:pPr>
            <w:r>
              <w:t>房间</w:t>
            </w:r>
          </w:p>
        </w:tc>
        <w:tc>
          <w:tcPr>
            <w:vAlign w:val="center"/>
          </w:tcPr>
          <w:p>
            <w:pPr>
              <w:jc w:val="center"/>
            </w:pPr>
            <w:r>
              <w:t>0.003</w:t>
            </w:r>
          </w:p>
        </w:tc>
        <w:tc>
          <w:tcPr>
            <w:vAlign w:val="center"/>
          </w:tcPr>
          <w:p>
            <w:pPr>
              <w:jc w:val="center"/>
            </w:pPr>
            <w:r>
              <w:rPr>
                <w:b/>
              </w:rPr>
              <w:t>达标</w:t>
            </w:r>
          </w:p>
        </w:tc>
        <w:tc>
          <w:tcPr>
            <w:vAlign w:val="center"/>
          </w:tcPr>
          <w:p>
            <w:pPr>
              <w:jc w:val="center"/>
            </w:pPr>
            <w:r>
              <w:rPr>
                <w:b/>
              </w:rPr>
              <w:t>达标</w:t>
            </w:r>
          </w:p>
        </w:tc>
      </w:tr>
    </w:tbl>
    <w:p>
      <w:pPr>
        <w:jc w:val="center"/>
        <w:rPr>
          <w:rFonts w:ascii="Times New Roman" w:hAnsi="Times New Roman" w:cs="Times New Roman"/>
          <w:b/>
          <w:szCs w:val="21"/>
        </w:rPr>
      </w:pPr>
      <w:bookmarkStart w:id="37" w:name="室内PM10日均值达标判定表"/>
      <w:bookmarkEnd w:id="37"/>
    </w:p>
    <w:p>
      <w:pPr>
        <w:jc w:val="center"/>
        <w:rPr>
          <w:rFonts w:ascii="Times New Roman" w:hAnsi="Times New Roman" w:cs="Times New Roman"/>
          <w:b/>
          <w:szCs w:val="21"/>
        </w:rPr>
      </w:pPr>
    </w:p>
    <w:p>
      <w:pPr>
        <w:jc w:val="center"/>
        <w:rPr>
          <w:rFonts w:ascii="Times New Roman" w:hAnsi="Times New Roman" w:cs="Times New Roman"/>
          <w:b/>
          <w:szCs w:val="21"/>
        </w:rPr>
      </w:pPr>
      <w:bookmarkStart w:id="38" w:name="PM10颗粒物逐日均值图"/>
      <w:bookmarkEnd w:id="38"/>
    </w:p>
    <w:p>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pPr>
        <w:jc w:val="center"/>
        <w:rPr>
          <w:rFonts w:ascii="Times New Roman" w:hAnsi="Times New Roman" w:cs="Times New Roman"/>
          <w:b/>
          <w:szCs w:val="21"/>
        </w:rP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9" w:name="_Toc19256"/>
      <w:r>
        <w:rPr>
          <w:rFonts w:hint="eastAsia" w:ascii="黑体" w:hAnsi="黑体" w:eastAsia="黑体"/>
          <w:kern w:val="32"/>
          <w:sz w:val="28"/>
          <w:szCs w:val="28"/>
        </w:rPr>
        <w:t>结论</w:t>
      </w:r>
      <w:bookmarkEnd w:id="39"/>
    </w:p>
    <w:p>
      <w:pPr>
        <w:spacing w:after="156" w:afterLines="50"/>
        <w:ind w:firstLine="420"/>
      </w:pPr>
      <w:r>
        <w:rPr>
          <w:rFonts w:hint="eastAsia"/>
        </w:rPr>
        <w:t>本项目按照标准要求对所有参评房间进行了颗粒物浓度的计算，并对结果进行评价如下：</w:t>
      </w:r>
    </w:p>
    <w:tbl>
      <w:tblPr>
        <w:tblStyle w:val="19"/>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pPr>
              <w:jc w:val="center"/>
              <w:rPr>
                <w:b/>
              </w:rPr>
            </w:pPr>
            <w:r>
              <w:rPr>
                <w:rFonts w:hint="eastAsia"/>
                <w:b/>
              </w:rPr>
              <w:t>检查项</w:t>
            </w:r>
          </w:p>
        </w:tc>
        <w:tc>
          <w:tcPr>
            <w:tcW w:w="3227" w:type="dxa"/>
            <w:shd w:val="clear" w:color="000000" w:fill="D0CECE"/>
            <w:noWrap/>
            <w:vAlign w:val="center"/>
          </w:tcPr>
          <w:p>
            <w:pPr>
              <w:jc w:val="center"/>
              <w:rPr>
                <w:b/>
              </w:rPr>
            </w:pPr>
            <w:r>
              <w:rPr>
                <w:rFonts w:hint="eastAsia"/>
                <w:b/>
              </w:rPr>
              <w:t>评价依据</w:t>
            </w:r>
          </w:p>
        </w:tc>
        <w:tc>
          <w:tcPr>
            <w:tcW w:w="2555" w:type="dxa"/>
            <w:shd w:val="clear" w:color="000000" w:fill="D0CECE"/>
            <w:noWrap/>
            <w:vAlign w:val="center"/>
          </w:tcPr>
          <w:p>
            <w:pPr>
              <w:jc w:val="center"/>
              <w:rPr>
                <w:b/>
              </w:rPr>
            </w:pPr>
            <w:r>
              <w:rPr>
                <w:rFonts w:hint="eastAsia"/>
                <w:b/>
              </w:rPr>
              <w:t>计算结果</w:t>
            </w:r>
          </w:p>
        </w:tc>
        <w:tc>
          <w:tcPr>
            <w:tcW w:w="850" w:type="dxa"/>
            <w:shd w:val="clear" w:color="000000" w:fill="D0CECE"/>
            <w:noWrap/>
            <w:vAlign w:val="center"/>
          </w:tcPr>
          <w:p>
            <w:pPr>
              <w:jc w:val="center"/>
              <w:rPr>
                <w:b/>
              </w:rPr>
            </w:pPr>
            <w:r>
              <w:rPr>
                <w:rFonts w:hint="eastAsia"/>
                <w:b/>
              </w:rPr>
              <w:t>结论</w:t>
            </w:r>
          </w:p>
        </w:tc>
        <w:tc>
          <w:tcPr>
            <w:tcW w:w="794" w:type="dxa"/>
            <w:shd w:val="clear" w:color="000000" w:fill="D0CECE"/>
            <w:noWrap/>
            <w:vAlign w:val="center"/>
          </w:tcPr>
          <w:p>
            <w:pPr>
              <w:jc w:val="center"/>
              <w:rPr>
                <w:b/>
              </w:rPr>
            </w:pPr>
            <w:r>
              <w:rPr>
                <w:rFonts w:hint="eastAsia"/>
                <w:b/>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pPr>
              <w:jc w:val="center"/>
              <w:rPr>
                <w:b/>
              </w:rPr>
            </w:pPr>
            <w:r>
              <w:rPr>
                <w:rFonts w:hint="eastAsia"/>
                <w:b/>
              </w:rPr>
              <w:t>评分项</w:t>
            </w:r>
          </w:p>
        </w:tc>
        <w:tc>
          <w:tcPr>
            <w:tcW w:w="3227" w:type="dxa"/>
            <w:shd w:val="clear" w:color="auto" w:fill="auto"/>
            <w:vAlign w:val="center"/>
          </w:tcPr>
          <w:p>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pPr>
              <w:jc w:val="left"/>
              <w:rPr>
                <w:rFonts w:ascii="Times New Roman" w:hAnsi="Times New Roman" w:cs="Times New Roman"/>
                <w:b/>
                <w:szCs w:val="20"/>
              </w:rPr>
            </w:pPr>
            <w:bookmarkStart w:id="40" w:name="颗粒物计算结果"/>
            <w:r>
              <w:rPr>
                <w:rFonts w:ascii="Times New Roman" w:hAnsi="Times New Roman" w:cs="Times New Roman"/>
                <w:szCs w:val="20"/>
              </w:rPr>
              <w:t>PM2.5年均浓度0μg/m³
PM10年均浓度1μg/m³</w:t>
            </w:r>
            <w:bookmarkEnd w:id="40"/>
          </w:p>
        </w:tc>
        <w:tc>
          <w:tcPr>
            <w:tcW w:w="850" w:type="dxa"/>
            <w:shd w:val="clear" w:color="auto" w:fill="FEF2CC" w:themeFill="accent4" w:themeFillTint="33"/>
            <w:noWrap/>
            <w:vAlign w:val="center"/>
          </w:tcPr>
          <w:p>
            <w:pPr>
              <w:jc w:val="center"/>
              <w:rPr>
                <w:b/>
                <w:bCs/>
              </w:rPr>
            </w:pPr>
            <w:bookmarkStart w:id="41" w:name="颗粒物评分项结论"/>
            <w:r>
              <w:rPr>
                <w:b/>
                <w:bCs/>
              </w:rPr>
              <w:t>满足</w:t>
            </w:r>
            <w:bookmarkEnd w:id="41"/>
          </w:p>
        </w:tc>
        <w:tc>
          <w:tcPr>
            <w:tcW w:w="794" w:type="dxa"/>
            <w:shd w:val="clear" w:color="auto" w:fill="FEF2CC" w:themeFill="accent4" w:themeFillTint="33"/>
            <w:noWrap/>
            <w:vAlign w:val="center"/>
          </w:tcPr>
          <w:p>
            <w:pPr>
              <w:jc w:val="center"/>
              <w:rPr>
                <w:b/>
                <w:bCs/>
              </w:rPr>
            </w:pPr>
            <w:bookmarkStart w:id="42" w:name="颗粒物评分项得分"/>
            <w:r>
              <w:rPr>
                <w:b/>
                <w:bCs/>
              </w:rPr>
              <w:t>6</w:t>
            </w:r>
            <w:bookmarkEnd w:id="42"/>
            <w:r>
              <w:rPr>
                <w:rFonts w:hint="eastAsia"/>
                <w:b/>
                <w:bCs/>
              </w:rPr>
              <w:t>分</w:t>
            </w:r>
          </w:p>
        </w:tc>
      </w:tr>
    </w:tbl>
    <w:p>
      <w:pPr>
        <w:rPr>
          <w:lang w:val="zh-CN" w:eastAsia="zh-CN"/>
        </w:rPr>
      </w:pPr>
    </w:p>
    <w:sectPr>
      <w:head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9930024"/>
      <w:docPartObj>
        <w:docPartGallery w:val="AutoText"/>
      </w:docPartObj>
    </w:sdtPr>
    <w:sdtContent>
      <w:p>
        <w:pPr>
          <w:pStyle w:val="14"/>
          <w:jc w:val="center"/>
        </w:pPr>
        <w:r>
          <w:fldChar w:fldCharType="begin"/>
        </w:r>
        <w:r>
          <w:instrText xml:space="preserve">PAGE   \* MERGEFORMAT</w:instrText>
        </w:r>
        <w:r>
          <w:fldChar w:fldCharType="separate"/>
        </w:r>
        <w:r>
          <w:rPr>
            <w:lang w:val="zh-CN"/>
          </w:rPr>
          <w:t>6</w:t>
        </w:r>
        <w:r>
          <w:fldChar w:fldCharType="end"/>
        </w:r>
      </w:p>
    </w:sdtContent>
  </w:sdt>
  <w:p>
    <w:pPr>
      <w:pStyle w:val="14"/>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VkMGZkMGRiYjA0ZWZhMzRkZjZjZWM0NTQxMWY5YzkifQ=="/>
  </w:docVars>
  <w:rsids>
    <w:rsidRoot w:val="4A9F7328"/>
    <w:rsid w:val="00002BA3"/>
    <w:rsid w:val="000136EE"/>
    <w:rsid w:val="00025F1E"/>
    <w:rsid w:val="00035395"/>
    <w:rsid w:val="000354B1"/>
    <w:rsid w:val="00042122"/>
    <w:rsid w:val="000515D9"/>
    <w:rsid w:val="00051980"/>
    <w:rsid w:val="00064EF1"/>
    <w:rsid w:val="00066F60"/>
    <w:rsid w:val="000764B5"/>
    <w:rsid w:val="00077C2D"/>
    <w:rsid w:val="00081740"/>
    <w:rsid w:val="00086E49"/>
    <w:rsid w:val="00094CB6"/>
    <w:rsid w:val="000969C6"/>
    <w:rsid w:val="0009759D"/>
    <w:rsid w:val="000B05C6"/>
    <w:rsid w:val="000B3E55"/>
    <w:rsid w:val="000C210B"/>
    <w:rsid w:val="000D5C1D"/>
    <w:rsid w:val="000E01A0"/>
    <w:rsid w:val="000F2869"/>
    <w:rsid w:val="000F3959"/>
    <w:rsid w:val="000F6B87"/>
    <w:rsid w:val="00101CE6"/>
    <w:rsid w:val="00120123"/>
    <w:rsid w:val="00122866"/>
    <w:rsid w:val="00151FC2"/>
    <w:rsid w:val="001526B8"/>
    <w:rsid w:val="00154D5D"/>
    <w:rsid w:val="00156B45"/>
    <w:rsid w:val="001765C5"/>
    <w:rsid w:val="00193280"/>
    <w:rsid w:val="001939BB"/>
    <w:rsid w:val="0019715D"/>
    <w:rsid w:val="001B04AD"/>
    <w:rsid w:val="001B6F86"/>
    <w:rsid w:val="001B75E2"/>
    <w:rsid w:val="001D35B1"/>
    <w:rsid w:val="001E4985"/>
    <w:rsid w:val="001E7907"/>
    <w:rsid w:val="001F2382"/>
    <w:rsid w:val="002112B9"/>
    <w:rsid w:val="002236FA"/>
    <w:rsid w:val="002255D3"/>
    <w:rsid w:val="002372AD"/>
    <w:rsid w:val="0024270B"/>
    <w:rsid w:val="00246F30"/>
    <w:rsid w:val="00252336"/>
    <w:rsid w:val="00262392"/>
    <w:rsid w:val="00264D8E"/>
    <w:rsid w:val="00267769"/>
    <w:rsid w:val="0027361A"/>
    <w:rsid w:val="00294BA2"/>
    <w:rsid w:val="002B43F0"/>
    <w:rsid w:val="002B470D"/>
    <w:rsid w:val="002B5141"/>
    <w:rsid w:val="002D09EA"/>
    <w:rsid w:val="002D4227"/>
    <w:rsid w:val="002E5080"/>
    <w:rsid w:val="002E6051"/>
    <w:rsid w:val="002F7BFE"/>
    <w:rsid w:val="00301717"/>
    <w:rsid w:val="00323938"/>
    <w:rsid w:val="0033581E"/>
    <w:rsid w:val="0034616B"/>
    <w:rsid w:val="003472CD"/>
    <w:rsid w:val="00360573"/>
    <w:rsid w:val="00361C09"/>
    <w:rsid w:val="0037469D"/>
    <w:rsid w:val="0037770A"/>
    <w:rsid w:val="0039338C"/>
    <w:rsid w:val="00394A3E"/>
    <w:rsid w:val="003958C8"/>
    <w:rsid w:val="003B4EE2"/>
    <w:rsid w:val="003C3663"/>
    <w:rsid w:val="003E7013"/>
    <w:rsid w:val="003E7461"/>
    <w:rsid w:val="004269B5"/>
    <w:rsid w:val="00427A24"/>
    <w:rsid w:val="00441C7D"/>
    <w:rsid w:val="00446BA6"/>
    <w:rsid w:val="004574D6"/>
    <w:rsid w:val="00465382"/>
    <w:rsid w:val="00474233"/>
    <w:rsid w:val="0047522F"/>
    <w:rsid w:val="004776B1"/>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37D58"/>
    <w:rsid w:val="0055123D"/>
    <w:rsid w:val="0055156C"/>
    <w:rsid w:val="005575B0"/>
    <w:rsid w:val="00566FB7"/>
    <w:rsid w:val="00571148"/>
    <w:rsid w:val="00581CBA"/>
    <w:rsid w:val="00582CDB"/>
    <w:rsid w:val="005A1CE8"/>
    <w:rsid w:val="005A4C78"/>
    <w:rsid w:val="005B273D"/>
    <w:rsid w:val="005B6D12"/>
    <w:rsid w:val="005B7D64"/>
    <w:rsid w:val="005C0EFF"/>
    <w:rsid w:val="005C63F1"/>
    <w:rsid w:val="005E3859"/>
    <w:rsid w:val="005E4515"/>
    <w:rsid w:val="005E510C"/>
    <w:rsid w:val="00605B90"/>
    <w:rsid w:val="006068C3"/>
    <w:rsid w:val="00617188"/>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5457"/>
    <w:rsid w:val="007855C9"/>
    <w:rsid w:val="00793B6F"/>
    <w:rsid w:val="00796157"/>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6B6C"/>
    <w:rsid w:val="00A00A4C"/>
    <w:rsid w:val="00A020AD"/>
    <w:rsid w:val="00A1515C"/>
    <w:rsid w:val="00A16294"/>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524D0"/>
    <w:rsid w:val="00B558F1"/>
    <w:rsid w:val="00B606AE"/>
    <w:rsid w:val="00B72EEA"/>
    <w:rsid w:val="00B735CE"/>
    <w:rsid w:val="00B73CB8"/>
    <w:rsid w:val="00B76942"/>
    <w:rsid w:val="00B77CFD"/>
    <w:rsid w:val="00B82263"/>
    <w:rsid w:val="00B91795"/>
    <w:rsid w:val="00BC0D49"/>
    <w:rsid w:val="00BC2011"/>
    <w:rsid w:val="00BC3F82"/>
    <w:rsid w:val="00BE4774"/>
    <w:rsid w:val="00BE54A9"/>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4411"/>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732B0"/>
    <w:rsid w:val="00E77D71"/>
    <w:rsid w:val="00E80ACF"/>
    <w:rsid w:val="00E853C4"/>
    <w:rsid w:val="00E91D4C"/>
    <w:rsid w:val="00E93917"/>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34A0"/>
    <w:rsid w:val="00F36A82"/>
    <w:rsid w:val="00F37552"/>
    <w:rsid w:val="00F46686"/>
    <w:rsid w:val="00F538CE"/>
    <w:rsid w:val="00F56B42"/>
    <w:rsid w:val="00F63AC3"/>
    <w:rsid w:val="00F67E9C"/>
    <w:rsid w:val="00F77776"/>
    <w:rsid w:val="00F77D6B"/>
    <w:rsid w:val="00F87D86"/>
    <w:rsid w:val="00FA014C"/>
    <w:rsid w:val="00FA1701"/>
    <w:rsid w:val="00FB25BC"/>
    <w:rsid w:val="00FB47A9"/>
    <w:rsid w:val="00FB58E6"/>
    <w:rsid w:val="00FB6679"/>
    <w:rsid w:val="4A9F7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7"/>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28"/>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1"/>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2"/>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3"/>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4"/>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5"/>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0"/>
    <w:semiHidden/>
    <w:unhideWhenUsed/>
    <w:uiPriority w:val="99"/>
    <w:rPr>
      <w:sz w:val="20"/>
      <w:szCs w:val="20"/>
    </w:rPr>
  </w:style>
  <w:style w:type="paragraph" w:styleId="12">
    <w:name w:val="toc 3"/>
    <w:basedOn w:val="1"/>
    <w:next w:val="1"/>
    <w:autoRedefine/>
    <w:qFormat/>
    <w:uiPriority w:val="39"/>
    <w:pPr>
      <w:widowControl/>
      <w:ind w:left="840" w:leftChars="400"/>
    </w:pPr>
    <w:rPr>
      <w:rFonts w:ascii="Times New Roman" w:hAnsi="Times New Roman" w:cs="Times New Roman"/>
      <w:szCs w:val="24"/>
    </w:rPr>
  </w:style>
  <w:style w:type="paragraph" w:styleId="13">
    <w:name w:val="Balloon Text"/>
    <w:basedOn w:val="1"/>
    <w:link w:val="38"/>
    <w:semiHidden/>
    <w:unhideWhenUsed/>
    <w:uiPriority w:val="99"/>
    <w:rPr>
      <w:sz w:val="18"/>
      <w:szCs w:val="18"/>
    </w:rPr>
  </w:style>
  <w:style w:type="paragraph" w:styleId="14">
    <w:name w:val="footer"/>
    <w:basedOn w:val="1"/>
    <w:link w:val="25"/>
    <w:unhideWhenUsed/>
    <w:uiPriority w:val="99"/>
    <w:pPr>
      <w:tabs>
        <w:tab w:val="center" w:pos="4153"/>
        <w:tab w:val="right" w:pos="8306"/>
      </w:tabs>
      <w:snapToGrid w:val="0"/>
      <w:jc w:val="left"/>
    </w:pPr>
    <w:rPr>
      <w:sz w:val="18"/>
      <w:szCs w:val="18"/>
    </w:rPr>
  </w:style>
  <w:style w:type="paragraph" w:styleId="15">
    <w:name w:val="header"/>
    <w:basedOn w:val="1"/>
    <w:link w:val="24"/>
    <w:unhideWhenUsed/>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widowControl/>
    </w:pPr>
    <w:rPr>
      <w:rFonts w:ascii="Times New Roman" w:hAnsi="Times New Roman" w:cs="Times New Roman"/>
      <w:szCs w:val="24"/>
    </w:rPr>
  </w:style>
  <w:style w:type="paragraph" w:styleId="17">
    <w:name w:val="toc 2"/>
    <w:basedOn w:val="1"/>
    <w:next w:val="1"/>
    <w:autoRedefine/>
    <w:qFormat/>
    <w:uiPriority w:val="39"/>
    <w:pPr>
      <w:widowControl/>
      <w:ind w:left="200" w:leftChars="200"/>
    </w:pPr>
    <w:rPr>
      <w:rFonts w:ascii="Times New Roman" w:hAnsi="Times New Roman" w:cs="Times New Roman"/>
      <w:szCs w:val="24"/>
    </w:rPr>
  </w:style>
  <w:style w:type="paragraph" w:styleId="18">
    <w:name w:val="annotation subject"/>
    <w:basedOn w:val="11"/>
    <w:next w:val="11"/>
    <w:link w:val="41"/>
    <w:semiHidden/>
    <w:unhideWhenUsed/>
    <w:uiPriority w:val="99"/>
    <w:rPr>
      <w:b/>
      <w:bCs/>
    </w:rPr>
  </w:style>
  <w:style w:type="table" w:styleId="20">
    <w:name w:val="Table Grid"/>
    <w:basedOn w:val="1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uiPriority w:val="99"/>
    <w:rPr>
      <w:color w:val="0000FF"/>
      <w:u w:val="single"/>
    </w:rPr>
  </w:style>
  <w:style w:type="character" w:styleId="23">
    <w:name w:val="annotation reference"/>
    <w:basedOn w:val="21"/>
    <w:semiHidden/>
    <w:unhideWhenUsed/>
    <w:uiPriority w:val="99"/>
    <w:rPr>
      <w:sz w:val="16"/>
      <w:szCs w:val="16"/>
    </w:rPr>
  </w:style>
  <w:style w:type="character" w:customStyle="1" w:styleId="24">
    <w:name w:val="页眉 Char"/>
    <w:basedOn w:val="21"/>
    <w:link w:val="15"/>
    <w:uiPriority w:val="0"/>
    <w:rPr>
      <w:sz w:val="18"/>
      <w:szCs w:val="18"/>
    </w:rPr>
  </w:style>
  <w:style w:type="character" w:customStyle="1" w:styleId="25">
    <w:name w:val="页脚 Char"/>
    <w:basedOn w:val="21"/>
    <w:link w:val="14"/>
    <w:uiPriority w:val="99"/>
    <w:rPr>
      <w:sz w:val="18"/>
      <w:szCs w:val="18"/>
    </w:rPr>
  </w:style>
  <w:style w:type="character" w:customStyle="1" w:styleId="26">
    <w:name w:val="标题 2 字符"/>
    <w:basedOn w:val="21"/>
    <w:semiHidden/>
    <w:uiPriority w:val="9"/>
    <w:rPr>
      <w:rFonts w:asciiTheme="majorHAnsi" w:hAnsiTheme="majorHAnsi" w:eastAsiaTheme="majorEastAsia" w:cstheme="majorBidi"/>
      <w:b/>
      <w:bCs/>
      <w:sz w:val="32"/>
      <w:szCs w:val="32"/>
    </w:rPr>
  </w:style>
  <w:style w:type="character" w:customStyle="1" w:styleId="27">
    <w:name w:val="标题 3 Char"/>
    <w:basedOn w:val="21"/>
    <w:link w:val="4"/>
    <w:uiPriority w:val="0"/>
    <w:rPr>
      <w:rFonts w:ascii="Times New Roman" w:hAnsi="Times New Roman" w:eastAsia="黑体" w:cs="Times New Roman"/>
      <w:b/>
      <w:bCs/>
      <w:sz w:val="28"/>
      <w:szCs w:val="24"/>
      <w:lang w:val="zh-CN" w:eastAsia="zh-CN"/>
    </w:rPr>
  </w:style>
  <w:style w:type="character" w:customStyle="1" w:styleId="28">
    <w:name w:val="标题 4 Char"/>
    <w:basedOn w:val="21"/>
    <w:link w:val="5"/>
    <w:uiPriority w:val="0"/>
    <w:rPr>
      <w:rFonts w:ascii="Arial" w:hAnsi="Arial" w:eastAsia="黑体" w:cs="Times New Roman"/>
      <w:b/>
      <w:bCs/>
      <w:sz w:val="24"/>
      <w:szCs w:val="28"/>
    </w:rPr>
  </w:style>
  <w:style w:type="character" w:customStyle="1" w:styleId="29">
    <w:name w:val="标题 2 Char"/>
    <w:link w:val="3"/>
    <w:uiPriority w:val="0"/>
    <w:rPr>
      <w:rFonts w:ascii="Arial" w:hAnsi="Arial" w:eastAsia="黑体" w:cs="Times New Roman"/>
      <w:b/>
      <w:bCs/>
      <w:sz w:val="30"/>
      <w:szCs w:val="32"/>
      <w:lang w:val="zh-CN" w:eastAsia="zh-CN"/>
    </w:rPr>
  </w:style>
  <w:style w:type="character" w:customStyle="1" w:styleId="30">
    <w:name w:val="标题 1 Char"/>
    <w:basedOn w:val="21"/>
    <w:link w:val="2"/>
    <w:uiPriority w:val="9"/>
    <w:rPr>
      <w:b/>
      <w:bCs/>
      <w:kern w:val="44"/>
      <w:sz w:val="44"/>
      <w:szCs w:val="44"/>
    </w:rPr>
  </w:style>
  <w:style w:type="character" w:customStyle="1" w:styleId="31">
    <w:name w:val="标题 5 Char"/>
    <w:basedOn w:val="21"/>
    <w:link w:val="6"/>
    <w:uiPriority w:val="0"/>
    <w:rPr>
      <w:rFonts w:ascii="Arial" w:hAnsi="Arial" w:eastAsia="黑体" w:cs="Times New Roman"/>
      <w:b/>
      <w:sz w:val="28"/>
      <w:szCs w:val="28"/>
      <w:lang w:val="zh-CN" w:eastAsia="zh-CN"/>
    </w:rPr>
  </w:style>
  <w:style w:type="character" w:customStyle="1" w:styleId="32">
    <w:name w:val="标题 6 Char"/>
    <w:basedOn w:val="21"/>
    <w:link w:val="7"/>
    <w:uiPriority w:val="0"/>
    <w:rPr>
      <w:rFonts w:ascii="Arial" w:hAnsi="Arial" w:eastAsia="黑体" w:cs="Times New Roman"/>
      <w:b/>
      <w:bCs/>
      <w:sz w:val="24"/>
      <w:szCs w:val="24"/>
    </w:rPr>
  </w:style>
  <w:style w:type="character" w:customStyle="1" w:styleId="33">
    <w:name w:val="标题 7 Char"/>
    <w:basedOn w:val="21"/>
    <w:link w:val="8"/>
    <w:uiPriority w:val="0"/>
    <w:rPr>
      <w:rFonts w:ascii="Times New Roman" w:hAnsi="Times New Roman" w:eastAsia="宋体" w:cs="Times New Roman"/>
      <w:b/>
      <w:bCs/>
      <w:sz w:val="24"/>
      <w:szCs w:val="24"/>
    </w:rPr>
  </w:style>
  <w:style w:type="character" w:customStyle="1" w:styleId="34">
    <w:name w:val="标题 8 Char"/>
    <w:basedOn w:val="21"/>
    <w:link w:val="9"/>
    <w:uiPriority w:val="0"/>
    <w:rPr>
      <w:rFonts w:ascii="Arial" w:hAnsi="Arial" w:eastAsia="黑体" w:cs="Times New Roman"/>
      <w:sz w:val="24"/>
      <w:szCs w:val="24"/>
    </w:rPr>
  </w:style>
  <w:style w:type="character" w:customStyle="1" w:styleId="35">
    <w:name w:val="标题 9 Char"/>
    <w:basedOn w:val="21"/>
    <w:link w:val="10"/>
    <w:uiPriority w:val="0"/>
    <w:rPr>
      <w:rFonts w:ascii="Arial" w:hAnsi="Arial" w:eastAsia="黑体" w:cs="Times New Roman"/>
      <w:szCs w:val="21"/>
    </w:rPr>
  </w:style>
  <w:style w:type="paragraph" w:customStyle="1" w:styleId="36">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7">
    <w:name w:val="列出段落1"/>
    <w:basedOn w:val="1"/>
    <w:qFormat/>
    <w:uiPriority w:val="34"/>
    <w:pPr>
      <w:widowControl/>
      <w:ind w:left="420" w:firstLine="420" w:firstLineChars="200"/>
    </w:pPr>
    <w:rPr>
      <w:rFonts w:ascii="Calibri" w:hAnsi="Calibri" w:cs="Times New Roman"/>
    </w:rPr>
  </w:style>
  <w:style w:type="character" w:customStyle="1" w:styleId="38">
    <w:name w:val="批注框文本 Char"/>
    <w:basedOn w:val="21"/>
    <w:link w:val="13"/>
    <w:semiHidden/>
    <w:uiPriority w:val="99"/>
    <w:rPr>
      <w:sz w:val="18"/>
      <w:szCs w:val="18"/>
    </w:rPr>
  </w:style>
  <w:style w:type="paragraph" w:styleId="39">
    <w:name w:val="List Paragraph"/>
    <w:basedOn w:val="1"/>
    <w:qFormat/>
    <w:uiPriority w:val="34"/>
    <w:pPr>
      <w:ind w:firstLine="420" w:firstLineChars="200"/>
    </w:pPr>
  </w:style>
  <w:style w:type="character" w:customStyle="1" w:styleId="40">
    <w:name w:val="批注文字 Char"/>
    <w:basedOn w:val="21"/>
    <w:link w:val="11"/>
    <w:semiHidden/>
    <w:uiPriority w:val="99"/>
    <w:rPr>
      <w:sz w:val="20"/>
      <w:szCs w:val="20"/>
    </w:rPr>
  </w:style>
  <w:style w:type="character" w:customStyle="1" w:styleId="41">
    <w:name w:val="批注主题 Char"/>
    <w:basedOn w:val="40"/>
    <w:link w:val="18"/>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6.jpeg"/><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bird\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tmp10.dotx</Template>
  <Pages>8</Pages>
  <Words>1797</Words>
  <Characters>2255</Characters>
  <Lines>22</Lines>
  <Paragraphs>6</Paragraphs>
  <TotalTime>0</TotalTime>
  <ScaleCrop>false</ScaleCrop>
  <LinksUpToDate>false</LinksUpToDate>
  <CharactersWithSpaces>2397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2024-02-20T11:24:00Z</dcterms:created>
  <dc:creator>RBbird.</dc:creator>
  <cp:lastModifiedBy>RBbird.</cp:lastModifiedBy>
  <dcterms:modified xsi:type="dcterms:W3CDTF">2024-02-20T11:24:19Z</dcterms:modified>
  <dc:title>绿色建筑颗粒物预评价报告书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1A7E8A3CEAFE4FC78C388C4A182F0E55_11</vt:lpwstr>
  </property>
  <property fmtid="{D5CDD505-2E9C-101B-9397-08002B2CF9AE}" pid="3" name="KSOProductBuildVer">
    <vt:lpwstr>2052-12.1.0.16250</vt:lpwstr>
  </property>
</Properties>
</file>