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kern w:val="0"/>
          <w:sz w:val="72"/>
          <w:szCs w:val="72"/>
          <w:lang w:val="en-GB"/>
        </w:rPr>
      </w:pPr>
    </w:p>
    <w:p>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pPr>
        <w:jc w:val="center"/>
        <w:rPr>
          <w:rFonts w:ascii="黑体" w:eastAsia="黑体"/>
          <w:b/>
          <w:bCs/>
          <w:kern w:val="0"/>
          <w:sz w:val="72"/>
          <w:szCs w:val="72"/>
          <w:lang w:val="en-GB"/>
        </w:rPr>
      </w:pPr>
      <w:r>
        <w:rPr>
          <w:rFonts w:hint="eastAsia" w:ascii="黑体" w:eastAsia="黑体"/>
          <w:b/>
          <w:bCs/>
          <w:kern w:val="0"/>
          <w:sz w:val="72"/>
          <w:szCs w:val="72"/>
          <w:lang w:val="en-GB"/>
        </w:rPr>
        <w:t>报告书</w:t>
      </w:r>
    </w:p>
    <w:p>
      <w:pPr>
        <w:jc w:val="center"/>
        <w:rPr>
          <w:b/>
          <w:sz w:val="52"/>
          <w:szCs w:val="21"/>
        </w:rPr>
      </w:pPr>
      <w:r>
        <w:rPr>
          <w:rFonts w:hint="eastAsia" w:ascii="黑体" w:eastAsia="黑体"/>
          <w:b/>
          <w:bCs/>
          <w:kern w:val="0"/>
          <w:sz w:val="56"/>
          <w:szCs w:val="56"/>
          <w:lang w:val="en-GB"/>
        </w:rPr>
        <w:t>可吸入颗粒物</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pPr>
              <w:pStyle w:val="14"/>
              <w:tabs>
                <w:tab w:val="clear" w:pos="4153"/>
                <w:tab w:val="clear" w:pos="8306"/>
              </w:tabs>
              <w:snapToGrid/>
              <w:jc w:val="both"/>
              <w:rPr>
                <w:szCs w:val="21"/>
              </w:rPr>
            </w:pPr>
            <w:bookmarkStart w:id="0" w:name="项目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工程地点</w:t>
            </w:r>
          </w:p>
        </w:tc>
        <w:tc>
          <w:tcPr>
            <w:tcW w:w="3780" w:type="dxa"/>
          </w:tcPr>
          <w:p>
            <w:pPr>
              <w:rPr>
                <w:szCs w:val="21"/>
              </w:rPr>
            </w:pPr>
            <w:bookmarkStart w:id="1" w:name="项目地点"/>
            <w:r>
              <w:t>普洱</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设计编号</w:t>
            </w:r>
          </w:p>
        </w:tc>
        <w:tc>
          <w:tcPr>
            <w:tcW w:w="3780" w:type="dxa"/>
          </w:tcPr>
          <w:p>
            <w:pPr>
              <w:rPr>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建设单位</w:t>
            </w:r>
          </w:p>
        </w:tc>
        <w:tc>
          <w:tcPr>
            <w:tcW w:w="3780" w:type="dxa"/>
          </w:tcPr>
          <w:p>
            <w:pPr>
              <w:rPr>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设计单位</w:t>
            </w:r>
          </w:p>
        </w:tc>
        <w:tc>
          <w:tcPr>
            <w:tcW w:w="3780" w:type="dxa"/>
          </w:tcPr>
          <w:p>
            <w:pPr>
              <w:rPr>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 计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校 对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核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定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b/>
                <w:bCs/>
                <w:szCs w:val="21"/>
              </w:rPr>
            </w:pPr>
            <w:r>
              <w:rPr>
                <w:rFonts w:hint="eastAsia"/>
                <w:b/>
                <w:bCs/>
                <w:szCs w:val="21"/>
              </w:rPr>
              <w:t>设计日期</w:t>
            </w:r>
          </w:p>
        </w:tc>
        <w:tc>
          <w:tcPr>
            <w:tcW w:w="3780" w:type="dxa"/>
          </w:tcPr>
          <w:p>
            <w:pPr>
              <w:rPr>
                <w:szCs w:val="21"/>
              </w:rPr>
            </w:pPr>
            <w:bookmarkStart w:id="5" w:name="报告日期"/>
            <w:r>
              <w:rPr>
                <w:rFonts w:hint="eastAsia"/>
                <w:szCs w:val="21"/>
              </w:rPr>
              <w:t>2024年03月16日</w:t>
            </w:r>
            <w:bookmarkEnd w:id="5"/>
          </w:p>
        </w:tc>
      </w:tr>
    </w:tbl>
    <w:p>
      <w:pPr>
        <w:jc w:val="center"/>
        <w:rPr>
          <w:b/>
          <w:sz w:val="56"/>
        </w:rPr>
      </w:pPr>
      <w:bookmarkStart w:id="6" w:name="二维码"/>
      <w:bookmarkEnd w:id="6"/>
      <w:r>
        <w:drawing>
          <wp:inline distT="0" distB="0" distL="0" distR="0">
            <wp:extent cx="1628775" cy="16287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1628946" cy="1628946"/>
                    </a:xfrm>
                    <a:prstGeom prst="rect">
                      <a:avLst/>
                    </a:prstGeom>
                  </pic:spPr>
                </pic:pic>
              </a:graphicData>
            </a:graphic>
          </wp:inline>
        </w:drawing>
      </w:r>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pPr>
              <w:widowControl/>
              <w:spacing w:line="240" w:lineRule="atLeast"/>
              <w:rPr>
                <w:rFonts w:cs="Times New Roman"/>
                <w:kern w:val="0"/>
                <w:sz w:val="18"/>
                <w:szCs w:val="18"/>
                <w:lang w:val="en-GB"/>
              </w:rPr>
            </w:pPr>
            <w:bookmarkStart w:id="7" w:name="采用软件"/>
            <w:r>
              <w:t>建筑通风Vent2023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szCs w:val="18"/>
              </w:rPr>
            </w:pPr>
            <w:bookmarkStart w:id="9" w:name="加密锁号"/>
            <w:r>
              <w:t>T15862176512</w:t>
            </w:r>
            <w:bookmarkEnd w:id="9"/>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right" w:leader="dot" w:pos="7910"/>
        </w:tabs>
      </w:pPr>
      <w:bookmarkStart w:id="43" w:name="_GoBack"/>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_Toc8128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_Toc8128 \h </w:instrText>
      </w:r>
      <w:r>
        <w:fldChar w:fldCharType="separate"/>
      </w:r>
      <w:r>
        <w:t>3</w:t>
      </w:r>
      <w:r>
        <w:fldChar w:fldCharType="end"/>
      </w:r>
      <w:r>
        <w:rPr>
          <w:rFonts w:ascii="Calibri" w:hAnsi="Calibri"/>
          <w:caps/>
          <w:szCs w:val="20"/>
        </w:rPr>
        <w:fldChar w:fldCharType="end"/>
      </w:r>
    </w:p>
    <w:p>
      <w:pPr>
        <w:pStyle w:val="17"/>
        <w:tabs>
          <w:tab w:val="right" w:leader="dot" w:pos="7910"/>
        </w:tabs>
      </w:pPr>
      <w:r>
        <w:rPr>
          <w:bCs/>
          <w:lang w:val="zh-CN"/>
        </w:rPr>
        <w:fldChar w:fldCharType="begin"/>
      </w:r>
      <w:r>
        <w:rPr>
          <w:bCs/>
          <w:lang w:val="zh-CN"/>
        </w:rPr>
        <w:instrText xml:space="preserve"> HYPERLINK \l _Toc5662 </w:instrText>
      </w:r>
      <w:r>
        <w:rPr>
          <w:bCs/>
          <w:lang w:val="zh-CN"/>
        </w:rPr>
        <w:fldChar w:fldCharType="separate"/>
      </w:r>
      <w:r>
        <w:rPr>
          <w:rFonts w:hint="eastAsia"/>
          <w:szCs w:val="24"/>
        </w:rPr>
        <w:t>1.1 建筑基本信息</w:t>
      </w:r>
      <w:r>
        <w:tab/>
      </w:r>
      <w:r>
        <w:fldChar w:fldCharType="begin"/>
      </w:r>
      <w:r>
        <w:instrText xml:space="preserve"> PAGEREF _Toc5662 \h </w:instrText>
      </w:r>
      <w:r>
        <w:fldChar w:fldCharType="separate"/>
      </w:r>
      <w:r>
        <w:t>3</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_Toc17713 </w:instrText>
      </w:r>
      <w:r>
        <w:rPr>
          <w:bCs/>
          <w:lang w:val="zh-CN"/>
        </w:rPr>
        <w:fldChar w:fldCharType="separate"/>
      </w:r>
      <w:r>
        <w:rPr>
          <w:rFonts w:hint="eastAsia"/>
          <w:szCs w:val="24"/>
        </w:rPr>
        <w:t>1.2 建筑</w:t>
      </w:r>
      <w:r>
        <w:rPr>
          <w:rFonts w:hint="eastAsia"/>
          <w:szCs w:val="24"/>
          <w:lang w:eastAsia="zh-CN"/>
        </w:rPr>
        <w:t>平面</w:t>
      </w:r>
      <w:r>
        <w:rPr>
          <w:rFonts w:hint="eastAsia"/>
          <w:szCs w:val="24"/>
        </w:rPr>
        <w:t>图</w:t>
      </w:r>
      <w:r>
        <w:tab/>
      </w:r>
      <w:r>
        <w:fldChar w:fldCharType="begin"/>
      </w:r>
      <w:r>
        <w:instrText xml:space="preserve"> PAGEREF _Toc17713 \h </w:instrText>
      </w:r>
      <w:r>
        <w:fldChar w:fldCharType="separate"/>
      </w:r>
      <w:r>
        <w:t>3</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_Toc18719 </w:instrText>
      </w:r>
      <w:r>
        <w:rPr>
          <w:bCs/>
          <w:lang w:val="zh-CN"/>
        </w:rPr>
        <w:fldChar w:fldCharType="separate"/>
      </w:r>
      <w:r>
        <w:rPr>
          <w:rFonts w:hint="eastAsia" w:ascii="Times New Roman" w:hAnsi="Times New Roman"/>
          <w:szCs w:val="24"/>
        </w:rPr>
        <w:t xml:space="preserve">1.3 </w:t>
      </w:r>
      <w:r>
        <w:rPr>
          <w:rFonts w:hint="eastAsia"/>
          <w:szCs w:val="24"/>
        </w:rPr>
        <w:t>建筑三维轴测图</w:t>
      </w:r>
      <w:r>
        <w:tab/>
      </w:r>
      <w:r>
        <w:fldChar w:fldCharType="begin"/>
      </w:r>
      <w:r>
        <w:instrText xml:space="preserve"> PAGEREF _Toc18719 \h </w:instrText>
      </w:r>
      <w:r>
        <w:fldChar w:fldCharType="separate"/>
      </w:r>
      <w:r>
        <w:t>6</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_Toc29398 </w:instrText>
      </w:r>
      <w:r>
        <w:rPr>
          <w:bCs/>
          <w:lang w:val="zh-CN"/>
        </w:rPr>
        <w:fldChar w:fldCharType="separate"/>
      </w:r>
      <w:r>
        <w:rPr>
          <w:rFonts w:hint="eastAsia" w:ascii="黑体" w:hAnsi="黑体"/>
          <w:kern w:val="32"/>
          <w:szCs w:val="28"/>
        </w:rPr>
        <w:t>1.4 参考标准</w:t>
      </w:r>
      <w:r>
        <w:tab/>
      </w:r>
      <w:r>
        <w:fldChar w:fldCharType="begin"/>
      </w:r>
      <w:r>
        <w:instrText xml:space="preserve"> PAGEREF _Toc29398 \h </w:instrText>
      </w:r>
      <w:r>
        <w:fldChar w:fldCharType="separate"/>
      </w:r>
      <w:r>
        <w:t>7</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_Toc23137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评价标准</w:t>
      </w:r>
      <w:r>
        <w:tab/>
      </w:r>
      <w:r>
        <w:fldChar w:fldCharType="begin"/>
      </w:r>
      <w:r>
        <w:instrText xml:space="preserve"> PAGEREF _Toc23137 \h </w:instrText>
      </w:r>
      <w:r>
        <w:fldChar w:fldCharType="separate"/>
      </w:r>
      <w:r>
        <w:t>7</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_Toc9755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计算原理</w:t>
      </w:r>
      <w:r>
        <w:tab/>
      </w:r>
      <w:r>
        <w:fldChar w:fldCharType="begin"/>
      </w:r>
      <w:r>
        <w:instrText xml:space="preserve"> PAGEREF _Toc9755 \h </w:instrText>
      </w:r>
      <w:r>
        <w:fldChar w:fldCharType="separate"/>
      </w:r>
      <w:r>
        <w:t>7</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_Toc27273 </w:instrText>
      </w:r>
      <w:r>
        <w:rPr>
          <w:bCs/>
          <w:lang w:val="zh-CN"/>
        </w:rPr>
        <w:fldChar w:fldCharType="separate"/>
      </w:r>
      <w:r>
        <w:rPr>
          <w:rFonts w:hint="default" w:ascii="Arial" w:hAnsi="Arial"/>
          <w:kern w:val="32"/>
          <w:szCs w:val="28"/>
        </w:rPr>
        <w:t xml:space="preserve">4 </w:t>
      </w:r>
      <w:r>
        <w:rPr>
          <w:rFonts w:hint="eastAsia"/>
          <w:kern w:val="32"/>
          <w:szCs w:val="28"/>
        </w:rPr>
        <w:t>计算参数</w:t>
      </w:r>
      <w:r>
        <w:tab/>
      </w:r>
      <w:r>
        <w:fldChar w:fldCharType="begin"/>
      </w:r>
      <w:r>
        <w:instrText xml:space="preserve"> PAGEREF _Toc27273 \h </w:instrText>
      </w:r>
      <w:r>
        <w:fldChar w:fldCharType="separate"/>
      </w:r>
      <w:r>
        <w:t>8</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_Toc23133 </w:instrText>
      </w:r>
      <w:r>
        <w:rPr>
          <w:bCs/>
          <w:lang w:val="zh-CN"/>
        </w:rPr>
        <w:fldChar w:fldCharType="separate"/>
      </w:r>
      <w:r>
        <w:rPr>
          <w:rFonts w:hint="eastAsia"/>
          <w:szCs w:val="24"/>
        </w:rPr>
        <w:t>4.1 渗透风量</w:t>
      </w:r>
      <w:r>
        <w:tab/>
      </w:r>
      <w:r>
        <w:fldChar w:fldCharType="begin"/>
      </w:r>
      <w:r>
        <w:instrText xml:space="preserve"> PAGEREF _Toc23133 \h </w:instrText>
      </w:r>
      <w:r>
        <w:fldChar w:fldCharType="separate"/>
      </w:r>
      <w:r>
        <w:t>9</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_Toc30655 </w:instrText>
      </w:r>
      <w:r>
        <w:rPr>
          <w:bCs/>
          <w:lang w:val="zh-CN"/>
        </w:rPr>
        <w:fldChar w:fldCharType="separate"/>
      </w:r>
      <w:r>
        <w:rPr>
          <w:rFonts w:hint="eastAsia"/>
          <w:szCs w:val="24"/>
        </w:rPr>
        <w:t>4.2 室内颗粒物源强</w:t>
      </w:r>
      <w:r>
        <w:tab/>
      </w:r>
      <w:r>
        <w:fldChar w:fldCharType="begin"/>
      </w:r>
      <w:r>
        <w:instrText xml:space="preserve"> PAGEREF _Toc30655 \h </w:instrText>
      </w:r>
      <w:r>
        <w:fldChar w:fldCharType="separate"/>
      </w:r>
      <w:r>
        <w:t>9</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_Toc11374 </w:instrText>
      </w:r>
      <w:r>
        <w:rPr>
          <w:bCs/>
          <w:lang w:val="zh-CN"/>
        </w:rPr>
        <w:fldChar w:fldCharType="separate"/>
      </w:r>
      <w:r>
        <w:rPr>
          <w:rFonts w:hint="eastAsia"/>
          <w:szCs w:val="24"/>
        </w:rPr>
        <w:t>4.3 室外颗粒物污染源浓度</w:t>
      </w:r>
      <w:r>
        <w:tab/>
      </w:r>
      <w:r>
        <w:fldChar w:fldCharType="begin"/>
      </w:r>
      <w:r>
        <w:instrText xml:space="preserve"> PAGEREF _Toc11374 \h </w:instrText>
      </w:r>
      <w:r>
        <w:fldChar w:fldCharType="separate"/>
      </w:r>
      <w:r>
        <w:t>9</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_Toc11662 </w:instrText>
      </w:r>
      <w:r>
        <w:rPr>
          <w:bCs/>
          <w:lang w:val="zh-CN"/>
        </w:rPr>
        <w:fldChar w:fldCharType="separate"/>
      </w:r>
      <w:r>
        <w:rPr>
          <w:rFonts w:hint="eastAsia"/>
          <w:szCs w:val="24"/>
        </w:rPr>
        <w:t>4.4 房间通风净化</w:t>
      </w:r>
      <w:r>
        <w:tab/>
      </w:r>
      <w:r>
        <w:fldChar w:fldCharType="begin"/>
      </w:r>
      <w:r>
        <w:instrText xml:space="preserve"> PAGEREF _Toc11662 \h </w:instrText>
      </w:r>
      <w:r>
        <w:fldChar w:fldCharType="separate"/>
      </w:r>
      <w:r>
        <w:t>9</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_Toc15249 </w:instrText>
      </w:r>
      <w:r>
        <w:rPr>
          <w:bCs/>
          <w:lang w:val="zh-CN"/>
        </w:rPr>
        <w:fldChar w:fldCharType="separate"/>
      </w:r>
      <w:r>
        <w:rPr>
          <w:rFonts w:hint="default" w:ascii="Arial" w:hAnsi="Arial" w:eastAsia="黑体"/>
          <w:kern w:val="32"/>
          <w:szCs w:val="28"/>
        </w:rPr>
        <w:t xml:space="preserve">5 </w:t>
      </w:r>
      <w:r>
        <w:rPr>
          <w:rFonts w:hint="eastAsia" w:ascii="黑体" w:hAnsi="黑体" w:eastAsia="黑体"/>
          <w:kern w:val="32"/>
          <w:szCs w:val="28"/>
        </w:rPr>
        <w:t>计算结果</w:t>
      </w:r>
      <w:r>
        <w:tab/>
      </w:r>
      <w:r>
        <w:fldChar w:fldCharType="begin"/>
      </w:r>
      <w:r>
        <w:instrText xml:space="preserve"> PAGEREF _Toc15249 \h </w:instrText>
      </w:r>
      <w:r>
        <w:fldChar w:fldCharType="separate"/>
      </w:r>
      <w:r>
        <w:t>9</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_Toc20623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结论</w:t>
      </w:r>
      <w:r>
        <w:tab/>
      </w:r>
      <w:r>
        <w:fldChar w:fldCharType="begin"/>
      </w:r>
      <w:r>
        <w:instrText xml:space="preserve"> PAGEREF _Toc20623 \h </w:instrText>
      </w:r>
      <w:r>
        <w:fldChar w:fldCharType="separate"/>
      </w:r>
      <w:r>
        <w:t>11</w:t>
      </w:r>
      <w:r>
        <w:fldChar w:fldCharType="end"/>
      </w:r>
      <w:r>
        <w:rPr>
          <w:bCs/>
          <w:lang w:val="zh-CN"/>
        </w:rP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bookmarkEnd w:id="43"/>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8128"/>
      <w:r>
        <w:rPr>
          <w:rFonts w:hint="eastAsia" w:ascii="黑体" w:hAnsi="黑体" w:eastAsia="黑体"/>
          <w:kern w:val="32"/>
          <w:sz w:val="28"/>
          <w:szCs w:val="28"/>
        </w:rPr>
        <w:t>项目概况</w:t>
      </w:r>
      <w:bookmarkEnd w:id="11"/>
    </w:p>
    <w:p>
      <w:pPr>
        <w:pStyle w:val="3"/>
        <w:rPr>
          <w:sz w:val="24"/>
          <w:szCs w:val="24"/>
        </w:rPr>
      </w:pPr>
      <w:bookmarkStart w:id="12" w:name="_Toc5662"/>
      <w:r>
        <w:rPr>
          <w:rFonts w:hint="eastAsia"/>
          <w:sz w:val="24"/>
          <w:szCs w:val="24"/>
        </w:rPr>
        <w:t>建筑基本信息</w:t>
      </w:r>
      <w:bookmarkEnd w:id="12"/>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bookmarkStart w:id="13" w:name="地区"/>
            <w:r>
              <w:t>普洱</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360.10</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17.000</w:t>
            </w:r>
            <w:bookmarkEnd w:id="15"/>
            <w:r>
              <w:rPr>
                <w:rFonts w:ascii="Times New Roman" w:hAnsi="Times New Roman" w:cs="Times New Roman" w:eastAsiaTheme="minorHAnsi"/>
                <w:color w:val="000000"/>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r>
    </w:tbl>
    <w:p>
      <w:pPr>
        <w:pStyle w:val="3"/>
        <w:rPr>
          <w:sz w:val="24"/>
          <w:szCs w:val="24"/>
        </w:rPr>
      </w:pPr>
      <w:bookmarkStart w:id="16" w:name="_Toc17713"/>
      <w:r>
        <w:rPr>
          <w:rFonts w:hint="eastAsia"/>
          <w:sz w:val="24"/>
          <w:szCs w:val="24"/>
        </w:rPr>
        <w:t>建筑</w:t>
      </w:r>
      <w:r>
        <w:rPr>
          <w:rFonts w:hint="eastAsia"/>
          <w:sz w:val="24"/>
          <w:szCs w:val="24"/>
          <w:lang w:eastAsia="zh-CN"/>
        </w:rPr>
        <w:t>平面</w:t>
      </w:r>
      <w:r>
        <w:rPr>
          <w:rFonts w:hint="eastAsia"/>
          <w:sz w:val="24"/>
          <w:szCs w:val="24"/>
        </w:rPr>
        <w:t>图</w:t>
      </w:r>
      <w:bookmarkEnd w:id="16"/>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7" w:name="平面图"/>
      <w:bookmarkEnd w:id="17"/>
      <w:r>
        <w:drawing>
          <wp:inline distT="0" distB="0" distL="0" distR="0">
            <wp:extent cx="5667375" cy="64674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64674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71818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71818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r>
        <w:drawing>
          <wp:inline distT="0" distB="0" distL="0" distR="0">
            <wp:extent cx="5667375" cy="66103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66103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8" w:name="_Toc18719"/>
      <w:r>
        <w:rPr>
          <w:rFonts w:hint="eastAsia"/>
          <w:sz w:val="24"/>
          <w:szCs w:val="24"/>
        </w:rPr>
        <w:t>建筑三维轴测图</w:t>
      </w:r>
      <w:bookmarkEnd w:id="18"/>
    </w:p>
    <w:p>
      <w:pPr>
        <w:jc w:val="center"/>
        <w:rPr>
          <w:rFonts w:ascii="Times New Roman" w:hAnsi="Times New Roman" w:cs="Times New Roman"/>
          <w:lang w:val="zh-CN"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pPr>
        <w:jc w:val="center"/>
        <w:rPr>
          <w:rFonts w:ascii="Times New Roman" w:hAnsi="Times New Roman" w:cs="Times New Roman"/>
          <w:lang w:val="zh-CN" w:eastAsia="zh-CN"/>
        </w:rPr>
      </w:pPr>
    </w:p>
    <w:p>
      <w:pPr>
        <w:pStyle w:val="3"/>
        <w:rPr>
          <w:rFonts w:ascii="黑体" w:hAnsi="黑体"/>
          <w:kern w:val="32"/>
          <w:sz w:val="28"/>
          <w:szCs w:val="28"/>
        </w:rPr>
      </w:pPr>
      <w:bookmarkStart w:id="20" w:name="_Toc29398"/>
      <w:r>
        <w:rPr>
          <w:rFonts w:hint="eastAsia" w:ascii="黑体" w:hAnsi="黑体"/>
          <w:kern w:val="32"/>
          <w:sz w:val="28"/>
          <w:szCs w:val="28"/>
        </w:rPr>
        <w:t>参考标准</w:t>
      </w:r>
      <w:bookmarkEnd w:id="20"/>
    </w:p>
    <w:p>
      <w:pPr>
        <w:pStyle w:val="37"/>
        <w:numPr>
          <w:ilvl w:val="2"/>
          <w:numId w:val="3"/>
        </w:numPr>
        <w:spacing w:line="400" w:lineRule="exact"/>
        <w:ind w:firstLineChars="0"/>
        <w:rPr>
          <w:rFonts w:ascii="Times New Roman" w:hAnsi="Times New Roman"/>
        </w:rPr>
      </w:pPr>
      <w:r>
        <w:rPr>
          <w:rFonts w:ascii="Times New Roman" w:hAnsi="Times New Roman"/>
        </w:rPr>
        <w:t xml:space="preserve"> </w:t>
      </w:r>
      <w:bookmarkStart w:id="21" w:name="标准名称"/>
      <w:r>
        <w:t>《绿色建筑评价标准》GB/T 50378-2019</w:t>
      </w:r>
      <w:bookmarkEnd w:id="21"/>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23137"/>
      <w:r>
        <w:rPr>
          <w:rFonts w:hint="eastAsia" w:ascii="黑体" w:hAnsi="黑体" w:eastAsia="黑体"/>
          <w:kern w:val="32"/>
          <w:sz w:val="28"/>
          <w:szCs w:val="28"/>
        </w:rPr>
        <w:t>评价标准</w:t>
      </w:r>
      <w:bookmarkEnd w:id="22"/>
    </w:p>
    <w:p>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污染物浓度日均值的限值为0.15 mg/m</w:t>
      </w:r>
      <w:r>
        <w:rPr>
          <w:rFonts w:ascii="Times New Roman" w:hAnsi="Times New Roman" w:cs="Times New Roman"/>
          <w:color w:val="000000"/>
          <w:kern w:val="0"/>
          <w:szCs w:val="21"/>
          <w:vertAlign w:val="superscript"/>
        </w:rPr>
        <w:t xml:space="preserve">3 </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＜0.135（</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＜0.12（</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9755"/>
      <w:r>
        <w:rPr>
          <w:rFonts w:hint="eastAsia" w:ascii="黑体" w:hAnsi="黑体" w:eastAsia="黑体"/>
          <w:kern w:val="32"/>
          <w:sz w:val="28"/>
          <w:szCs w:val="28"/>
        </w:rPr>
        <w:t>计算原理</w:t>
      </w:r>
      <w:bookmarkEnd w:id="24"/>
    </w:p>
    <w:p>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151498" cy="2790476"/>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pPr>
        <w:spacing w:before="156"/>
        <w:ind w:firstLine="105" w:firstLineChars="50"/>
        <w:rPr>
          <w:lang w:val="zh-CN"/>
        </w:rPr>
      </w:pPr>
      <w:r>
        <w:rPr>
          <w:position w:val="-24"/>
        </w:rPr>
        <w:object>
          <v:shape id="_x0000_i1025" o:spt="75" type="#_x0000_t75" style="height:28.55pt;width:410.2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pPr>
        <w:pStyle w:val="2"/>
        <w:keepLines w:val="0"/>
        <w:widowControl/>
        <w:numPr>
          <w:ilvl w:val="0"/>
          <w:numId w:val="1"/>
        </w:numPr>
        <w:kinsoku w:val="0"/>
        <w:spacing w:before="240" w:after="60" w:line="240" w:lineRule="auto"/>
        <w:jc w:val="left"/>
        <w:rPr>
          <w:kern w:val="32"/>
          <w:sz w:val="28"/>
          <w:szCs w:val="28"/>
        </w:rPr>
      </w:pPr>
      <w:bookmarkStart w:id="25" w:name="_Toc27273"/>
      <w:r>
        <w:rPr>
          <w:rFonts w:hint="eastAsia"/>
          <w:kern w:val="32"/>
          <w:sz w:val="28"/>
          <w:szCs w:val="28"/>
        </w:rPr>
        <w:t>计算参数</w:t>
      </w:r>
      <w:bookmarkEnd w:id="25"/>
    </w:p>
    <w:p>
      <w:pPr>
        <w:ind w:firstLine="420" w:firstLineChars="200"/>
      </w:pPr>
      <w:r>
        <w:rPr>
          <w:rFonts w:hint="eastAsia"/>
        </w:rPr>
        <w:t>本项目对室内颗粒物浓度进行计算并评价，计算所需输入的参数主要为污染物源强以及通风净化措施见下述小节。</w:t>
      </w:r>
    </w:p>
    <w:p>
      <w:pPr>
        <w:pStyle w:val="3"/>
        <w:rPr>
          <w:sz w:val="24"/>
          <w:szCs w:val="24"/>
        </w:rPr>
      </w:pPr>
      <w:bookmarkStart w:id="26" w:name="_Toc23133"/>
      <w:r>
        <w:rPr>
          <w:rFonts w:hint="eastAsia"/>
          <w:sz w:val="24"/>
          <w:szCs w:val="24"/>
        </w:rPr>
        <w:t>渗透风量</w:t>
      </w:r>
      <w:bookmarkEnd w:id="26"/>
    </w:p>
    <w:p>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lang w:val="zh-CN"/>
        </w:rPr>
      </w:pPr>
      <w:bookmarkStart w:id="27" w:name="渗透风量"/>
      <w:r>
        <w:t>本项目忽略渗透风量的影响。</w:t>
      </w:r>
      <w:bookmarkEnd w:id="27"/>
    </w:p>
    <w:p>
      <w:pPr>
        <w:pStyle w:val="3"/>
        <w:rPr>
          <w:sz w:val="24"/>
          <w:szCs w:val="24"/>
        </w:rPr>
      </w:pPr>
      <w:bookmarkStart w:id="28" w:name="_Toc30655"/>
      <w:r>
        <w:rPr>
          <w:rFonts w:hint="eastAsia"/>
          <w:sz w:val="24"/>
          <w:szCs w:val="24"/>
        </w:rPr>
        <w:t>室内颗粒物源强</w:t>
      </w:r>
      <w:bookmarkEnd w:id="28"/>
    </w:p>
    <w:p>
      <w:pPr>
        <w:jc w:val="center"/>
      </w:pPr>
      <w:bookmarkStart w:id="29" w:name="室内颗粒物源强表"/>
      <w:r>
        <w:t>该项目室内颗粒物源强为0。</w:t>
      </w:r>
      <w:bookmarkEnd w:id="29"/>
    </w:p>
    <w:p>
      <w:pPr>
        <w:jc w:val="center"/>
      </w:pPr>
    </w:p>
    <w:p>
      <w:pPr>
        <w:pStyle w:val="3"/>
        <w:rPr>
          <w:sz w:val="24"/>
          <w:szCs w:val="24"/>
        </w:rPr>
      </w:pPr>
      <w:bookmarkStart w:id="30" w:name="_Toc11374"/>
      <w:r>
        <w:rPr>
          <w:rFonts w:hint="eastAsia"/>
          <w:sz w:val="24"/>
          <w:szCs w:val="24"/>
        </w:rPr>
        <w:t>室外颗粒物污染源浓度</w:t>
      </w:r>
      <w:bookmarkEnd w:id="30"/>
    </w:p>
    <w:p>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pPr>
        <w:jc w:val="center"/>
        <w:rPr>
          <w:rFonts w:ascii="Times New Roman" w:hAnsi="Times New Roman" w:cs="Times New Roman"/>
          <w:b/>
          <w:bCs/>
          <w:color w:val="000000"/>
        </w:rPr>
      </w:pPr>
      <w:bookmarkStart w:id="31" w:name="室外颗粒物逐时浓度图"/>
      <w:bookmarkEnd w:id="31"/>
    </w:p>
    <w:p>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pPr>
        <w:pStyle w:val="3"/>
        <w:rPr>
          <w:sz w:val="24"/>
          <w:szCs w:val="24"/>
        </w:rPr>
      </w:pPr>
      <w:bookmarkStart w:id="32" w:name="_Toc11662"/>
      <w:r>
        <w:rPr>
          <w:rFonts w:hint="eastAsia"/>
          <w:sz w:val="24"/>
          <w:szCs w:val="24"/>
        </w:rPr>
        <w:t>房间通风净化</w:t>
      </w:r>
      <w:bookmarkEnd w:id="32"/>
    </w:p>
    <w:p>
      <w:pPr>
        <w:jc w:val="center"/>
      </w:pPr>
    </w:p>
    <w:p>
      <w:pPr>
        <w:rPr>
          <w:lang w:val="zh-CN" w:eastAsia="zh-CN"/>
        </w:rPr>
      </w:pPr>
    </w:p>
    <w:p>
      <w:pPr>
        <w:jc w:val="center"/>
      </w:pPr>
      <w:bookmarkStart w:id="33" w:name="通风净化表"/>
      <w:bookmarkEnd w:id="33"/>
      <w:r>
        <w:rPr>
          <w:sz w:val="20"/>
          <w:szCs w:val="20"/>
        </w:rPr>
        <w:t>表5.4-1 开窗-空气净化器净化及对应参数表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开窗通风量（m³/h）</w:t>
            </w:r>
          </w:p>
        </w:tc>
        <w:tc>
          <w:tcPr>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1001</w:t>
            </w:r>
          </w:p>
        </w:tc>
        <w:tc>
          <w:tcPr>
            <w:vAlign w:val="center"/>
          </w:tcPr>
          <w:p>
            <w:pPr>
              <w:jc w:val="center"/>
            </w:pPr>
            <w:r>
              <w:t>房间</w:t>
            </w:r>
          </w:p>
        </w:tc>
        <w:tc>
          <w:tcPr>
            <w:vAlign w:val="center"/>
          </w:tcPr>
          <w:p>
            <w:pPr>
              <w:jc w:val="center"/>
            </w:pPr>
            <w:r>
              <w:t>45.0</w:t>
            </w:r>
          </w:p>
        </w:tc>
        <w:tc>
          <w:tcPr>
            <w:vAlign w:val="center"/>
          </w:tcPr>
          <w:p>
            <w:pPr>
              <w:jc w:val="center"/>
            </w:pPr>
            <w:r>
              <w:t>120.1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1002</w:t>
            </w:r>
          </w:p>
        </w:tc>
        <w:tc>
          <w:tcPr>
            <w:vAlign w:val="center"/>
          </w:tcPr>
          <w:p>
            <w:pPr>
              <w:jc w:val="center"/>
            </w:pPr>
            <w:r>
              <w:t>房间</w:t>
            </w:r>
          </w:p>
        </w:tc>
        <w:tc>
          <w:tcPr>
            <w:vAlign w:val="center"/>
          </w:tcPr>
          <w:p>
            <w:pPr>
              <w:jc w:val="center"/>
            </w:pPr>
            <w:r>
              <w:t>119.4</w:t>
            </w:r>
          </w:p>
        </w:tc>
        <w:tc>
          <w:tcPr>
            <w:vAlign w:val="center"/>
          </w:tcPr>
          <w:p>
            <w:pPr>
              <w:jc w:val="center"/>
            </w:pPr>
            <w:r>
              <w:t>318.5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1003</w:t>
            </w:r>
          </w:p>
        </w:tc>
        <w:tc>
          <w:tcPr>
            <w:vAlign w:val="center"/>
          </w:tcPr>
          <w:p>
            <w:pPr>
              <w:jc w:val="center"/>
            </w:pPr>
            <w:r>
              <w:t>房间</w:t>
            </w:r>
          </w:p>
        </w:tc>
        <w:tc>
          <w:tcPr>
            <w:vAlign w:val="center"/>
          </w:tcPr>
          <w:p>
            <w:pPr>
              <w:jc w:val="center"/>
            </w:pPr>
            <w:r>
              <w:t>186.9</w:t>
            </w:r>
          </w:p>
        </w:tc>
        <w:tc>
          <w:tcPr>
            <w:vAlign w:val="center"/>
          </w:tcPr>
          <w:p>
            <w:pPr>
              <w:jc w:val="center"/>
            </w:pPr>
            <w:r>
              <w:t>498.4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1004</w:t>
            </w:r>
          </w:p>
        </w:tc>
        <w:tc>
          <w:tcPr>
            <w:vAlign w:val="center"/>
          </w:tcPr>
          <w:p>
            <w:pPr>
              <w:jc w:val="center"/>
            </w:pPr>
            <w:r>
              <w:t>房间</w:t>
            </w:r>
          </w:p>
        </w:tc>
        <w:tc>
          <w:tcPr>
            <w:vAlign w:val="center"/>
          </w:tcPr>
          <w:p>
            <w:pPr>
              <w:jc w:val="center"/>
            </w:pPr>
            <w:r>
              <w:t>46.9</w:t>
            </w:r>
          </w:p>
        </w:tc>
        <w:tc>
          <w:tcPr>
            <w:vAlign w:val="center"/>
          </w:tcPr>
          <w:p>
            <w:pPr>
              <w:jc w:val="center"/>
            </w:pPr>
            <w:r>
              <w:t>124.9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1005</w:t>
            </w:r>
          </w:p>
        </w:tc>
        <w:tc>
          <w:tcPr>
            <w:vAlign w:val="center"/>
          </w:tcPr>
          <w:p>
            <w:pPr>
              <w:jc w:val="center"/>
            </w:pPr>
            <w:r>
              <w:t>房间</w:t>
            </w:r>
          </w:p>
        </w:tc>
        <w:tc>
          <w:tcPr>
            <w:vAlign w:val="center"/>
          </w:tcPr>
          <w:p>
            <w:pPr>
              <w:jc w:val="center"/>
            </w:pPr>
            <w:r>
              <w:t>51.4</w:t>
            </w:r>
          </w:p>
        </w:tc>
        <w:tc>
          <w:tcPr>
            <w:vAlign w:val="center"/>
          </w:tcPr>
          <w:p>
            <w:pPr>
              <w:jc w:val="center"/>
            </w:pPr>
            <w:r>
              <w:t>137.1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1006</w:t>
            </w:r>
          </w:p>
        </w:tc>
        <w:tc>
          <w:tcPr>
            <w:vAlign w:val="center"/>
          </w:tcPr>
          <w:p>
            <w:pPr>
              <w:jc w:val="center"/>
            </w:pPr>
            <w:r>
              <w:t>房间</w:t>
            </w:r>
          </w:p>
        </w:tc>
        <w:tc>
          <w:tcPr>
            <w:vAlign w:val="center"/>
          </w:tcPr>
          <w:p>
            <w:pPr>
              <w:jc w:val="center"/>
            </w:pPr>
            <w:r>
              <w:t>14.2</w:t>
            </w:r>
          </w:p>
        </w:tc>
        <w:tc>
          <w:tcPr>
            <w:vAlign w:val="center"/>
          </w:tcPr>
          <w:p>
            <w:pPr>
              <w:jc w:val="center"/>
            </w:pPr>
            <w:r>
              <w:t>37.9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1007</w:t>
            </w:r>
          </w:p>
        </w:tc>
        <w:tc>
          <w:tcPr>
            <w:vAlign w:val="center"/>
          </w:tcPr>
          <w:p>
            <w:pPr>
              <w:jc w:val="center"/>
            </w:pPr>
            <w:r>
              <w:t>房间</w:t>
            </w:r>
          </w:p>
        </w:tc>
        <w:tc>
          <w:tcPr>
            <w:vAlign w:val="center"/>
          </w:tcPr>
          <w:p>
            <w:pPr>
              <w:jc w:val="center"/>
            </w:pPr>
            <w:r>
              <w:t>2.5</w:t>
            </w:r>
          </w:p>
        </w:tc>
        <w:tc>
          <w:tcPr>
            <w:vAlign w:val="center"/>
          </w:tcPr>
          <w:p>
            <w:pPr>
              <w:jc w:val="center"/>
            </w:pPr>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2001</w:t>
            </w:r>
          </w:p>
        </w:tc>
        <w:tc>
          <w:tcPr>
            <w:vAlign w:val="center"/>
          </w:tcPr>
          <w:p>
            <w:pPr>
              <w:jc w:val="center"/>
            </w:pPr>
            <w:r>
              <w:t>房间</w:t>
            </w:r>
          </w:p>
        </w:tc>
        <w:tc>
          <w:tcPr>
            <w:vAlign w:val="center"/>
          </w:tcPr>
          <w:p>
            <w:pPr>
              <w:jc w:val="center"/>
            </w:pPr>
            <w:r>
              <w:t>470.0</w:t>
            </w:r>
          </w:p>
        </w:tc>
        <w:tc>
          <w:tcPr>
            <w:vAlign w:val="center"/>
          </w:tcPr>
          <w:p>
            <w:pPr>
              <w:jc w:val="center"/>
            </w:pPr>
            <w:r>
              <w:t>1253.2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2002</w:t>
            </w:r>
          </w:p>
        </w:tc>
        <w:tc>
          <w:tcPr>
            <w:vAlign w:val="center"/>
          </w:tcPr>
          <w:p>
            <w:pPr>
              <w:jc w:val="center"/>
            </w:pPr>
            <w:r>
              <w:t>房间</w:t>
            </w:r>
          </w:p>
        </w:tc>
        <w:tc>
          <w:tcPr>
            <w:vAlign w:val="center"/>
          </w:tcPr>
          <w:p>
            <w:pPr>
              <w:jc w:val="center"/>
            </w:pPr>
            <w:r>
              <w:t>17.9</w:t>
            </w:r>
          </w:p>
        </w:tc>
        <w:tc>
          <w:tcPr>
            <w:vAlign w:val="center"/>
          </w:tcPr>
          <w:p>
            <w:pPr>
              <w:jc w:val="center"/>
            </w:pPr>
            <w:r>
              <w:t>47.8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3001</w:t>
            </w:r>
          </w:p>
        </w:tc>
        <w:tc>
          <w:tcPr>
            <w:vAlign w:val="center"/>
          </w:tcPr>
          <w:p>
            <w:pPr>
              <w:jc w:val="center"/>
            </w:pPr>
            <w:r>
              <w:t>房间</w:t>
            </w:r>
          </w:p>
        </w:tc>
        <w:tc>
          <w:tcPr>
            <w:vAlign w:val="center"/>
          </w:tcPr>
          <w:p>
            <w:pPr>
              <w:jc w:val="center"/>
            </w:pPr>
            <w:r>
              <w:t>690.1</w:t>
            </w:r>
          </w:p>
        </w:tc>
        <w:tc>
          <w:tcPr>
            <w:vAlign w:val="center"/>
          </w:tcPr>
          <w:p>
            <w:pPr>
              <w:jc w:val="center"/>
            </w:pPr>
            <w:r>
              <w:t>1314.4</w:t>
            </w:r>
          </w:p>
        </w:tc>
      </w:tr>
    </w:tbl>
    <w:p>
      <w:pPr>
        <w:jc w:val="center"/>
      </w:pPr>
    </w:p>
    <w:p>
      <w:pPr>
        <w:jc w:val="cente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15249"/>
      <w:r>
        <w:rPr>
          <w:rFonts w:hint="eastAsia" w:ascii="黑体" w:hAnsi="黑体" w:eastAsia="黑体"/>
          <w:kern w:val="32"/>
          <w:sz w:val="28"/>
          <w:szCs w:val="28"/>
        </w:rPr>
        <w:t>计算结果</w:t>
      </w:r>
      <w:bookmarkEnd w:id="34"/>
    </w:p>
    <w:p>
      <w:pPr>
        <w:spacing w:after="156" w:afterLines="50"/>
        <w:ind w:firstLine="420" w:firstLineChars="200"/>
      </w:pPr>
      <w:r>
        <w:rPr>
          <w:rFonts w:hint="eastAsia"/>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PM2.5</w:t>
            </w:r>
          </w:p>
        </w:tc>
        <w:tc>
          <w:tcPr>
            <w:shd w:val="clear" w:color="auto" w:fill="E6E6E6"/>
            <w:vAlign w:val="center"/>
          </w:tcPr>
          <w:p>
            <w:pPr>
              <w:jc w:val="center"/>
            </w:pPr>
            <w:r>
              <w:rPr>
                <w:b/>
              </w:rPr>
              <w:t>PM10</w:t>
            </w:r>
          </w:p>
        </w:tc>
        <w:tc>
          <w:tcPr>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1001</w:t>
            </w:r>
          </w:p>
        </w:tc>
        <w:tc>
          <w:tcPr>
            <w:vAlign w:val="center"/>
          </w:tcPr>
          <w:p>
            <w:pPr>
              <w:jc w:val="center"/>
            </w:pPr>
            <w:r>
              <w:t>房间</w:t>
            </w:r>
          </w:p>
        </w:tc>
        <w:tc>
          <w:tcPr>
            <w:vAlign w:val="center"/>
          </w:tcPr>
          <w:p>
            <w:pPr>
              <w:jc w:val="center"/>
            </w:pPr>
            <w:r>
              <w:t>6</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1002</w:t>
            </w:r>
          </w:p>
        </w:tc>
        <w:tc>
          <w:tcPr>
            <w:vAlign w:val="center"/>
          </w:tcPr>
          <w:p>
            <w:pPr>
              <w:jc w:val="center"/>
            </w:pPr>
            <w:r>
              <w:t>房间</w:t>
            </w:r>
          </w:p>
        </w:tc>
        <w:tc>
          <w:tcPr>
            <w:vAlign w:val="center"/>
          </w:tcPr>
          <w:p>
            <w:pPr>
              <w:jc w:val="center"/>
            </w:pPr>
            <w:r>
              <w:t>6</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1003</w:t>
            </w:r>
          </w:p>
        </w:tc>
        <w:tc>
          <w:tcPr>
            <w:vAlign w:val="center"/>
          </w:tcPr>
          <w:p>
            <w:pPr>
              <w:jc w:val="center"/>
            </w:pPr>
            <w:r>
              <w:t>房间</w:t>
            </w:r>
          </w:p>
        </w:tc>
        <w:tc>
          <w:tcPr>
            <w:vAlign w:val="center"/>
          </w:tcPr>
          <w:p>
            <w:pPr>
              <w:jc w:val="center"/>
            </w:pPr>
            <w:r>
              <w:t>6</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1004</w:t>
            </w:r>
          </w:p>
        </w:tc>
        <w:tc>
          <w:tcPr>
            <w:vAlign w:val="center"/>
          </w:tcPr>
          <w:p>
            <w:pPr>
              <w:jc w:val="center"/>
            </w:pPr>
            <w:r>
              <w:t>房间</w:t>
            </w:r>
          </w:p>
        </w:tc>
        <w:tc>
          <w:tcPr>
            <w:vAlign w:val="center"/>
          </w:tcPr>
          <w:p>
            <w:pPr>
              <w:jc w:val="center"/>
            </w:pPr>
            <w:r>
              <w:t>6</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1005</w:t>
            </w:r>
          </w:p>
        </w:tc>
        <w:tc>
          <w:tcPr>
            <w:vAlign w:val="center"/>
          </w:tcPr>
          <w:p>
            <w:pPr>
              <w:jc w:val="center"/>
            </w:pPr>
            <w:r>
              <w:t>房间</w:t>
            </w:r>
          </w:p>
        </w:tc>
        <w:tc>
          <w:tcPr>
            <w:vAlign w:val="center"/>
          </w:tcPr>
          <w:p>
            <w:pPr>
              <w:jc w:val="center"/>
            </w:pPr>
            <w:r>
              <w:t>6</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1006</w:t>
            </w:r>
          </w:p>
        </w:tc>
        <w:tc>
          <w:tcPr>
            <w:vAlign w:val="center"/>
          </w:tcPr>
          <w:p>
            <w:pPr>
              <w:jc w:val="center"/>
            </w:pPr>
            <w:r>
              <w:t>房间</w:t>
            </w:r>
          </w:p>
        </w:tc>
        <w:tc>
          <w:tcPr>
            <w:vAlign w:val="center"/>
          </w:tcPr>
          <w:p>
            <w:pPr>
              <w:jc w:val="center"/>
            </w:pPr>
            <w:r>
              <w:t>6</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1007</w:t>
            </w:r>
          </w:p>
        </w:tc>
        <w:tc>
          <w:tcPr>
            <w:vAlign w:val="center"/>
          </w:tcPr>
          <w:p>
            <w:pPr>
              <w:jc w:val="center"/>
            </w:pPr>
            <w:r>
              <w:t>房间</w:t>
            </w:r>
          </w:p>
        </w:tc>
        <w:tc>
          <w:tcPr>
            <w:vAlign w:val="center"/>
          </w:tcPr>
          <w:p>
            <w:pPr>
              <w:jc w:val="center"/>
            </w:pPr>
            <w:r>
              <w:t>6</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2001</w:t>
            </w:r>
          </w:p>
        </w:tc>
        <w:tc>
          <w:tcPr>
            <w:vAlign w:val="center"/>
          </w:tcPr>
          <w:p>
            <w:pPr>
              <w:jc w:val="center"/>
            </w:pPr>
            <w:r>
              <w:t>房间</w:t>
            </w:r>
          </w:p>
        </w:tc>
        <w:tc>
          <w:tcPr>
            <w:vAlign w:val="center"/>
          </w:tcPr>
          <w:p>
            <w:pPr>
              <w:jc w:val="center"/>
            </w:pPr>
            <w:r>
              <w:t>6</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2002</w:t>
            </w:r>
          </w:p>
        </w:tc>
        <w:tc>
          <w:tcPr>
            <w:vAlign w:val="center"/>
          </w:tcPr>
          <w:p>
            <w:pPr>
              <w:jc w:val="center"/>
            </w:pPr>
            <w:r>
              <w:t>房间</w:t>
            </w:r>
          </w:p>
        </w:tc>
        <w:tc>
          <w:tcPr>
            <w:vAlign w:val="center"/>
          </w:tcPr>
          <w:p>
            <w:pPr>
              <w:jc w:val="center"/>
            </w:pPr>
            <w:r>
              <w:t>6</w:t>
            </w:r>
          </w:p>
        </w:tc>
        <w:tc>
          <w:tcPr>
            <w:vAlign w:val="center"/>
          </w:tcPr>
          <w:p>
            <w:pPr>
              <w:jc w:val="center"/>
            </w:pPr>
            <w:r>
              <w:t>13</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3001</w:t>
            </w:r>
          </w:p>
        </w:tc>
        <w:tc>
          <w:tcPr>
            <w:vAlign w:val="center"/>
          </w:tcPr>
          <w:p>
            <w:pPr>
              <w:jc w:val="center"/>
            </w:pPr>
            <w:r>
              <w:t>房间</w:t>
            </w:r>
          </w:p>
        </w:tc>
        <w:tc>
          <w:tcPr>
            <w:vAlign w:val="center"/>
          </w:tcPr>
          <w:p>
            <w:pPr>
              <w:jc w:val="center"/>
            </w:pPr>
            <w:r>
              <w:t>8</w:t>
            </w:r>
          </w:p>
        </w:tc>
        <w:tc>
          <w:tcPr>
            <w:vAlign w:val="center"/>
          </w:tcPr>
          <w:p>
            <w:pPr>
              <w:jc w:val="center"/>
            </w:pPr>
            <w:r>
              <w:t>16</w:t>
            </w:r>
          </w:p>
        </w:tc>
        <w:tc>
          <w:tcPr>
            <w:vAlign w:val="center"/>
          </w:tcPr>
          <w:p>
            <w:pPr>
              <w:jc w:val="center"/>
            </w:pPr>
            <w:r>
              <w:rPr>
                <w:b/>
              </w:rPr>
              <w:t>达标</w:t>
            </w:r>
          </w:p>
        </w:tc>
      </w:tr>
    </w:tbl>
    <w:p>
      <w:pPr>
        <w:jc w:val="center"/>
        <w:rPr>
          <w:b/>
        </w:rPr>
      </w:pPr>
      <w:bookmarkStart w:id="35" w:name="室内颗粒物达标判定表"/>
      <w:bookmarkEnd w:id="35"/>
    </w:p>
    <w:p>
      <w:pPr>
        <w:jc w:val="center"/>
        <w:rPr>
          <w:b/>
        </w:rPr>
      </w:pPr>
    </w:p>
    <w:p>
      <w:pPr>
        <w:jc w:val="center"/>
        <w:rPr>
          <w:b/>
        </w:rPr>
      </w:pPr>
      <w:bookmarkStart w:id="36" w:name="颗粒物达标判定图"/>
      <w:bookmarkEnd w:id="36"/>
      <w:r>
        <w:drawing>
          <wp:inline distT="0" distB="0" distL="0" distR="0">
            <wp:extent cx="5667375" cy="34004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7"/>
                    <a:stretch>
                      <a:fillRect/>
                    </a:stretch>
                  </pic:blipFill>
                  <pic:spPr>
                    <a:xfrm>
                      <a:off x="0" y="0"/>
                      <a:ext cx="5667375" cy="340042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pPr>
        <w:jc w:val="center"/>
        <w:rPr>
          <w:rFonts w:ascii="Times New Roman" w:hAnsi="Times New Roman"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浓度值</w:t>
            </w:r>
          </w:p>
        </w:tc>
        <w:tc>
          <w:tcPr>
            <w:shd w:val="clear" w:color="auto" w:fill="E6E6E6"/>
            <w:vAlign w:val="center"/>
          </w:tcPr>
          <w:p>
            <w:pPr>
              <w:jc w:val="center"/>
            </w:pPr>
            <w:r>
              <w:rPr>
                <w:b/>
              </w:rPr>
              <w:t>一星级</w:t>
            </w:r>
            <w:r>
              <w:rPr>
                <w:b/>
              </w:rPr>
              <w:br w:type="textWrapping"/>
            </w:r>
            <w:r>
              <w:rPr>
                <w:b/>
              </w:rPr>
              <w:t>&lt;0.135（降低10%）</w:t>
            </w:r>
          </w:p>
        </w:tc>
        <w:tc>
          <w:tcPr>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1001</w:t>
            </w:r>
          </w:p>
        </w:tc>
        <w:tc>
          <w:tcPr>
            <w:vAlign w:val="center"/>
          </w:tcPr>
          <w:p>
            <w:pPr>
              <w:jc w:val="center"/>
            </w:pPr>
            <w:r>
              <w:t>房间</w:t>
            </w:r>
          </w:p>
        </w:tc>
        <w:tc>
          <w:tcPr>
            <w:vAlign w:val="center"/>
          </w:tcPr>
          <w:p>
            <w:pPr>
              <w:jc w:val="center"/>
            </w:pPr>
            <w:r>
              <w:t>0.023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1002</w:t>
            </w:r>
          </w:p>
        </w:tc>
        <w:tc>
          <w:tcPr>
            <w:vAlign w:val="center"/>
          </w:tcPr>
          <w:p>
            <w:pPr>
              <w:jc w:val="center"/>
            </w:pPr>
            <w:r>
              <w:t>房间</w:t>
            </w:r>
          </w:p>
        </w:tc>
        <w:tc>
          <w:tcPr>
            <w:vAlign w:val="center"/>
          </w:tcPr>
          <w:p>
            <w:pPr>
              <w:jc w:val="center"/>
            </w:pPr>
            <w:r>
              <w:t>0.023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1003</w:t>
            </w:r>
          </w:p>
        </w:tc>
        <w:tc>
          <w:tcPr>
            <w:vAlign w:val="center"/>
          </w:tcPr>
          <w:p>
            <w:pPr>
              <w:jc w:val="center"/>
            </w:pPr>
            <w:r>
              <w:t>房间</w:t>
            </w:r>
          </w:p>
        </w:tc>
        <w:tc>
          <w:tcPr>
            <w:vAlign w:val="center"/>
          </w:tcPr>
          <w:p>
            <w:pPr>
              <w:jc w:val="center"/>
            </w:pPr>
            <w:r>
              <w:t>0.023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1004</w:t>
            </w:r>
          </w:p>
        </w:tc>
        <w:tc>
          <w:tcPr>
            <w:vAlign w:val="center"/>
          </w:tcPr>
          <w:p>
            <w:pPr>
              <w:jc w:val="center"/>
            </w:pPr>
            <w:r>
              <w:t>房间</w:t>
            </w:r>
          </w:p>
        </w:tc>
        <w:tc>
          <w:tcPr>
            <w:vAlign w:val="center"/>
          </w:tcPr>
          <w:p>
            <w:pPr>
              <w:jc w:val="center"/>
            </w:pPr>
            <w:r>
              <w:t>0.023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1005</w:t>
            </w:r>
          </w:p>
        </w:tc>
        <w:tc>
          <w:tcPr>
            <w:vAlign w:val="center"/>
          </w:tcPr>
          <w:p>
            <w:pPr>
              <w:jc w:val="center"/>
            </w:pPr>
            <w:r>
              <w:t>房间</w:t>
            </w:r>
          </w:p>
        </w:tc>
        <w:tc>
          <w:tcPr>
            <w:vAlign w:val="center"/>
          </w:tcPr>
          <w:p>
            <w:pPr>
              <w:jc w:val="center"/>
            </w:pPr>
            <w:r>
              <w:t>0.023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1006</w:t>
            </w:r>
          </w:p>
        </w:tc>
        <w:tc>
          <w:tcPr>
            <w:vAlign w:val="center"/>
          </w:tcPr>
          <w:p>
            <w:pPr>
              <w:jc w:val="center"/>
            </w:pPr>
            <w:r>
              <w:t>房间</w:t>
            </w:r>
          </w:p>
        </w:tc>
        <w:tc>
          <w:tcPr>
            <w:vAlign w:val="center"/>
          </w:tcPr>
          <w:p>
            <w:pPr>
              <w:jc w:val="center"/>
            </w:pPr>
            <w:r>
              <w:t>0.023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1007</w:t>
            </w:r>
          </w:p>
        </w:tc>
        <w:tc>
          <w:tcPr>
            <w:vAlign w:val="center"/>
          </w:tcPr>
          <w:p>
            <w:pPr>
              <w:jc w:val="center"/>
            </w:pPr>
            <w:r>
              <w:t>房间</w:t>
            </w:r>
          </w:p>
        </w:tc>
        <w:tc>
          <w:tcPr>
            <w:vAlign w:val="center"/>
          </w:tcPr>
          <w:p>
            <w:pPr>
              <w:jc w:val="center"/>
            </w:pPr>
            <w:r>
              <w:t>0.023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2001</w:t>
            </w:r>
          </w:p>
        </w:tc>
        <w:tc>
          <w:tcPr>
            <w:vAlign w:val="center"/>
          </w:tcPr>
          <w:p>
            <w:pPr>
              <w:jc w:val="center"/>
            </w:pPr>
            <w:r>
              <w:t>房间</w:t>
            </w:r>
          </w:p>
        </w:tc>
        <w:tc>
          <w:tcPr>
            <w:vAlign w:val="center"/>
          </w:tcPr>
          <w:p>
            <w:pPr>
              <w:jc w:val="center"/>
            </w:pPr>
            <w:r>
              <w:t>0.023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2002</w:t>
            </w:r>
          </w:p>
        </w:tc>
        <w:tc>
          <w:tcPr>
            <w:vAlign w:val="center"/>
          </w:tcPr>
          <w:p>
            <w:pPr>
              <w:jc w:val="center"/>
            </w:pPr>
            <w:r>
              <w:t>房间</w:t>
            </w:r>
          </w:p>
        </w:tc>
        <w:tc>
          <w:tcPr>
            <w:vAlign w:val="center"/>
          </w:tcPr>
          <w:p>
            <w:pPr>
              <w:jc w:val="center"/>
            </w:pPr>
            <w:r>
              <w:t>0.023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3001</w:t>
            </w:r>
          </w:p>
        </w:tc>
        <w:tc>
          <w:tcPr>
            <w:vAlign w:val="center"/>
          </w:tcPr>
          <w:p>
            <w:pPr>
              <w:jc w:val="center"/>
            </w:pPr>
            <w:r>
              <w:t>房间</w:t>
            </w:r>
          </w:p>
        </w:tc>
        <w:tc>
          <w:tcPr>
            <w:vAlign w:val="center"/>
          </w:tcPr>
          <w:p>
            <w:pPr>
              <w:jc w:val="center"/>
            </w:pPr>
            <w:r>
              <w:t>0.028</w:t>
            </w:r>
          </w:p>
        </w:tc>
        <w:tc>
          <w:tcPr>
            <w:vAlign w:val="center"/>
          </w:tcPr>
          <w:p>
            <w:pPr>
              <w:jc w:val="center"/>
            </w:pPr>
            <w:r>
              <w:rPr>
                <w:b/>
              </w:rPr>
              <w:t>达标</w:t>
            </w:r>
          </w:p>
        </w:tc>
        <w:tc>
          <w:tcPr>
            <w:vAlign w:val="center"/>
          </w:tcPr>
          <w:p>
            <w:pPr>
              <w:jc w:val="center"/>
            </w:pPr>
            <w:r>
              <w:rPr>
                <w:b/>
              </w:rPr>
              <w:t>达标</w:t>
            </w:r>
          </w:p>
        </w:tc>
      </w:tr>
    </w:tbl>
    <w:p>
      <w:pPr>
        <w:jc w:val="center"/>
        <w:rPr>
          <w:rFonts w:ascii="Times New Roman" w:hAnsi="Times New Roman" w:cs="Times New Roman"/>
          <w:b/>
          <w:szCs w:val="21"/>
        </w:rPr>
      </w:pPr>
      <w:bookmarkStart w:id="37" w:name="室内PM10日均值达标判定表"/>
      <w:bookmarkEnd w:id="37"/>
    </w:p>
    <w:p>
      <w:pPr>
        <w:jc w:val="center"/>
        <w:rPr>
          <w:rFonts w:ascii="Times New Roman" w:hAnsi="Times New Roman" w:cs="Times New Roman"/>
          <w:b/>
          <w:szCs w:val="21"/>
        </w:rPr>
      </w:pPr>
    </w:p>
    <w:p>
      <w:pPr>
        <w:jc w:val="center"/>
        <w:rPr>
          <w:rFonts w:ascii="Times New Roman" w:hAnsi="Times New Roman" w:cs="Times New Roman"/>
          <w:b/>
          <w:szCs w:val="21"/>
        </w:rPr>
      </w:pPr>
      <w:bookmarkStart w:id="38" w:name="PM10颗粒物逐日均值图"/>
      <w:bookmarkEnd w:id="38"/>
    </w:p>
    <w:p>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9" w:name="_Toc20623"/>
      <w:r>
        <w:rPr>
          <w:rFonts w:hint="eastAsia" w:ascii="黑体" w:hAnsi="黑体" w:eastAsia="黑体"/>
          <w:kern w:val="32"/>
          <w:sz w:val="28"/>
          <w:szCs w:val="28"/>
        </w:rPr>
        <w:t>结论</w:t>
      </w:r>
      <w:bookmarkEnd w:id="39"/>
    </w:p>
    <w:p>
      <w:pPr>
        <w:spacing w:after="156" w:afterLines="50"/>
        <w:ind w:firstLine="420"/>
      </w:pPr>
      <w:r>
        <w:rPr>
          <w:rFonts w:hint="eastAsia"/>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b/>
              </w:rPr>
            </w:pPr>
            <w:r>
              <w:rPr>
                <w:rFonts w:hint="eastAsia"/>
                <w:b/>
              </w:rPr>
              <w:t>检查项</w:t>
            </w:r>
          </w:p>
        </w:tc>
        <w:tc>
          <w:tcPr>
            <w:tcW w:w="3227" w:type="dxa"/>
            <w:shd w:val="clear" w:color="000000" w:fill="D0CECE"/>
            <w:noWrap/>
            <w:vAlign w:val="center"/>
          </w:tcPr>
          <w:p>
            <w:pPr>
              <w:jc w:val="center"/>
              <w:rPr>
                <w:b/>
              </w:rPr>
            </w:pPr>
            <w:r>
              <w:rPr>
                <w:rFonts w:hint="eastAsia"/>
                <w:b/>
              </w:rPr>
              <w:t>评价依据</w:t>
            </w:r>
          </w:p>
        </w:tc>
        <w:tc>
          <w:tcPr>
            <w:tcW w:w="2555" w:type="dxa"/>
            <w:shd w:val="clear" w:color="000000" w:fill="D0CECE"/>
            <w:noWrap/>
            <w:vAlign w:val="center"/>
          </w:tcPr>
          <w:p>
            <w:pPr>
              <w:jc w:val="center"/>
              <w:rPr>
                <w:b/>
              </w:rPr>
            </w:pPr>
            <w:r>
              <w:rPr>
                <w:rFonts w:hint="eastAsia"/>
                <w:b/>
              </w:rPr>
              <w:t>计算结果</w:t>
            </w:r>
          </w:p>
        </w:tc>
        <w:tc>
          <w:tcPr>
            <w:tcW w:w="850" w:type="dxa"/>
            <w:shd w:val="clear" w:color="000000" w:fill="D0CECE"/>
            <w:noWrap/>
            <w:vAlign w:val="center"/>
          </w:tcPr>
          <w:p>
            <w:pPr>
              <w:jc w:val="center"/>
              <w:rPr>
                <w:b/>
              </w:rPr>
            </w:pPr>
            <w:r>
              <w:rPr>
                <w:rFonts w:hint="eastAsia"/>
                <w:b/>
              </w:rPr>
              <w:t>结论</w:t>
            </w:r>
          </w:p>
        </w:tc>
        <w:tc>
          <w:tcPr>
            <w:tcW w:w="794" w:type="dxa"/>
            <w:shd w:val="clear" w:color="000000" w:fill="D0CECE"/>
            <w:noWrap/>
            <w:vAlign w:val="center"/>
          </w:tcPr>
          <w:p>
            <w:pPr>
              <w:jc w:val="center"/>
              <w:rPr>
                <w:b/>
              </w:rPr>
            </w:pPr>
            <w:r>
              <w:rPr>
                <w:rFonts w:hint="eastAsia"/>
                <w:b/>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评分项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pPr>
              <w:jc w:val="left"/>
              <w:rPr>
                <w:rFonts w:ascii="Times New Roman" w:hAnsi="Times New Roman" w:cs="Times New Roman"/>
                <w:b/>
                <w:szCs w:val="20"/>
              </w:rPr>
            </w:pPr>
            <w:bookmarkStart w:id="40" w:name="颗粒物计算结果"/>
            <w:r>
              <w:rPr>
                <w:rFonts w:ascii="Times New Roman" w:hAnsi="Times New Roman" w:cs="Times New Roman"/>
                <w:szCs w:val="20"/>
              </w:rPr>
              <w:t>PM2.5年均浓度8μg/m³
PM10年均浓度16μg/m³</w:t>
            </w:r>
            <w:bookmarkEnd w:id="40"/>
          </w:p>
        </w:tc>
        <w:tc>
          <w:tcPr>
            <w:tcW w:w="850" w:type="dxa"/>
            <w:shd w:val="clear" w:color="auto" w:fill="FEF2CC" w:themeFill="accent4" w:themeFillTint="33"/>
            <w:noWrap/>
            <w:vAlign w:val="center"/>
          </w:tcPr>
          <w:p>
            <w:pPr>
              <w:jc w:val="center"/>
              <w:rPr>
                <w:b/>
                <w:bCs/>
              </w:rPr>
            </w:pPr>
            <w:bookmarkStart w:id="41" w:name="颗粒物评分项结论"/>
            <w:r>
              <w:rPr>
                <w:b/>
                <w:bCs/>
              </w:rPr>
              <w:t>满足</w:t>
            </w:r>
            <w:bookmarkEnd w:id="41"/>
          </w:p>
        </w:tc>
        <w:tc>
          <w:tcPr>
            <w:tcW w:w="794" w:type="dxa"/>
            <w:shd w:val="clear" w:color="auto" w:fill="FEF2CC" w:themeFill="accent4" w:themeFillTint="33"/>
            <w:noWrap/>
            <w:vAlign w:val="center"/>
          </w:tcPr>
          <w:p>
            <w:pPr>
              <w:jc w:val="center"/>
              <w:rPr>
                <w:b/>
                <w:bCs/>
              </w:rPr>
            </w:pPr>
            <w:bookmarkStart w:id="42" w:name="颗粒物评分项得分"/>
            <w:r>
              <w:rPr>
                <w:b/>
                <w:bCs/>
              </w:rPr>
              <w:t>6</w:t>
            </w:r>
            <w:bookmarkEnd w:id="42"/>
            <w:r>
              <w:rPr>
                <w:rFonts w:hint="eastAsia"/>
                <w:b/>
                <w:bCs/>
              </w:rPr>
              <w:t>分</w:t>
            </w:r>
          </w:p>
        </w:tc>
      </w:tr>
    </w:tbl>
    <w:p>
      <w:pPr>
        <w:rPr>
          <w:lang w:val="zh-CN" w:eastAsia="zh-CN"/>
        </w:rPr>
      </w:pPr>
    </w:p>
    <w:sectPr>
      <w:head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9930024"/>
      <w:docPartObj>
        <w:docPartGallery w:val="AutoText"/>
      </w:docPartObj>
    </w:sdtPr>
    <w:sdtContent>
      <w:p>
        <w:pPr>
          <w:pStyle w:val="14"/>
          <w:jc w:val="center"/>
        </w:pPr>
        <w:r>
          <w:fldChar w:fldCharType="begin"/>
        </w:r>
        <w:r>
          <w:instrText xml:space="preserve">PAGE   \* MERGEFORMAT</w:instrText>
        </w:r>
        <w:r>
          <w:fldChar w:fldCharType="separate"/>
        </w:r>
        <w:r>
          <w:rPr>
            <w:lang w:val="zh-CN"/>
          </w:rPr>
          <w:t>6</w:t>
        </w:r>
        <w:r>
          <w:fldChar w:fldCharType="end"/>
        </w:r>
      </w:p>
    </w:sdtContent>
  </w:sdt>
  <w:p>
    <w:pPr>
      <w:pStyle w:val="1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MGZkMGRiYjA0ZWZhMzRkZjZjZWM0NTQxMWY5YzkifQ=="/>
  </w:docVars>
  <w:rsids>
    <w:rsidRoot w:val="07182729"/>
    <w:rsid w:val="00002BA3"/>
    <w:rsid w:val="000136EE"/>
    <w:rsid w:val="00025F1E"/>
    <w:rsid w:val="00035395"/>
    <w:rsid w:val="000354B1"/>
    <w:rsid w:val="00042122"/>
    <w:rsid w:val="000515D9"/>
    <w:rsid w:val="00051980"/>
    <w:rsid w:val="00064EF1"/>
    <w:rsid w:val="00066F60"/>
    <w:rsid w:val="000764B5"/>
    <w:rsid w:val="00077C2D"/>
    <w:rsid w:val="00081740"/>
    <w:rsid w:val="00086E49"/>
    <w:rsid w:val="00094CB6"/>
    <w:rsid w:val="000969C6"/>
    <w:rsid w:val="0009759D"/>
    <w:rsid w:val="000B05C6"/>
    <w:rsid w:val="000B3E55"/>
    <w:rsid w:val="000C210B"/>
    <w:rsid w:val="000D5C1D"/>
    <w:rsid w:val="000E01A0"/>
    <w:rsid w:val="000F2869"/>
    <w:rsid w:val="000F3959"/>
    <w:rsid w:val="000F6B87"/>
    <w:rsid w:val="00101CE6"/>
    <w:rsid w:val="00120123"/>
    <w:rsid w:val="00122866"/>
    <w:rsid w:val="00151FC2"/>
    <w:rsid w:val="001526B8"/>
    <w:rsid w:val="00154D5D"/>
    <w:rsid w:val="00156B45"/>
    <w:rsid w:val="001765C5"/>
    <w:rsid w:val="00193280"/>
    <w:rsid w:val="001939BB"/>
    <w:rsid w:val="0019715D"/>
    <w:rsid w:val="001B04AD"/>
    <w:rsid w:val="001B6F86"/>
    <w:rsid w:val="001B75E2"/>
    <w:rsid w:val="001D35B1"/>
    <w:rsid w:val="001E4985"/>
    <w:rsid w:val="001E7907"/>
    <w:rsid w:val="001F2382"/>
    <w:rsid w:val="002112B9"/>
    <w:rsid w:val="002236FA"/>
    <w:rsid w:val="002255D3"/>
    <w:rsid w:val="002372AD"/>
    <w:rsid w:val="0024270B"/>
    <w:rsid w:val="00246F30"/>
    <w:rsid w:val="00252336"/>
    <w:rsid w:val="00262392"/>
    <w:rsid w:val="00264D8E"/>
    <w:rsid w:val="00267769"/>
    <w:rsid w:val="0027361A"/>
    <w:rsid w:val="00294BA2"/>
    <w:rsid w:val="002B43F0"/>
    <w:rsid w:val="002B470D"/>
    <w:rsid w:val="002B5141"/>
    <w:rsid w:val="002D09EA"/>
    <w:rsid w:val="002D4227"/>
    <w:rsid w:val="002E5080"/>
    <w:rsid w:val="002E6051"/>
    <w:rsid w:val="002F7BFE"/>
    <w:rsid w:val="00301717"/>
    <w:rsid w:val="00323938"/>
    <w:rsid w:val="0033581E"/>
    <w:rsid w:val="0034616B"/>
    <w:rsid w:val="003472CD"/>
    <w:rsid w:val="00360573"/>
    <w:rsid w:val="00361C09"/>
    <w:rsid w:val="0037469D"/>
    <w:rsid w:val="0037770A"/>
    <w:rsid w:val="0039338C"/>
    <w:rsid w:val="00394A3E"/>
    <w:rsid w:val="003958C8"/>
    <w:rsid w:val="003B4EE2"/>
    <w:rsid w:val="003C3663"/>
    <w:rsid w:val="003E7013"/>
    <w:rsid w:val="003E7461"/>
    <w:rsid w:val="004269B5"/>
    <w:rsid w:val="00427A24"/>
    <w:rsid w:val="00441C7D"/>
    <w:rsid w:val="00446BA6"/>
    <w:rsid w:val="004574D6"/>
    <w:rsid w:val="00465382"/>
    <w:rsid w:val="00474233"/>
    <w:rsid w:val="0047522F"/>
    <w:rsid w:val="004776B1"/>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37D58"/>
    <w:rsid w:val="0055123D"/>
    <w:rsid w:val="0055156C"/>
    <w:rsid w:val="005575B0"/>
    <w:rsid w:val="00566FB7"/>
    <w:rsid w:val="00571148"/>
    <w:rsid w:val="00581CBA"/>
    <w:rsid w:val="00582CDB"/>
    <w:rsid w:val="005A1CE8"/>
    <w:rsid w:val="005A4C78"/>
    <w:rsid w:val="005B273D"/>
    <w:rsid w:val="005B6D12"/>
    <w:rsid w:val="005B7D64"/>
    <w:rsid w:val="005C0EFF"/>
    <w:rsid w:val="005C63F1"/>
    <w:rsid w:val="005E3859"/>
    <w:rsid w:val="005E4515"/>
    <w:rsid w:val="005E510C"/>
    <w:rsid w:val="00605B90"/>
    <w:rsid w:val="006068C3"/>
    <w:rsid w:val="00617188"/>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5457"/>
    <w:rsid w:val="007855C9"/>
    <w:rsid w:val="00793B6F"/>
    <w:rsid w:val="00796157"/>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6B6C"/>
    <w:rsid w:val="00A00A4C"/>
    <w:rsid w:val="00A020AD"/>
    <w:rsid w:val="00A1515C"/>
    <w:rsid w:val="00A16294"/>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524D0"/>
    <w:rsid w:val="00B558F1"/>
    <w:rsid w:val="00B606AE"/>
    <w:rsid w:val="00B72EEA"/>
    <w:rsid w:val="00B735CE"/>
    <w:rsid w:val="00B73CB8"/>
    <w:rsid w:val="00B76942"/>
    <w:rsid w:val="00B77CFD"/>
    <w:rsid w:val="00B82263"/>
    <w:rsid w:val="00B91795"/>
    <w:rsid w:val="00BC0D49"/>
    <w:rsid w:val="00BC2011"/>
    <w:rsid w:val="00BC3F82"/>
    <w:rsid w:val="00BE4774"/>
    <w:rsid w:val="00BE54A9"/>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4411"/>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732B0"/>
    <w:rsid w:val="00E77D71"/>
    <w:rsid w:val="00E80ACF"/>
    <w:rsid w:val="00E853C4"/>
    <w:rsid w:val="00E91D4C"/>
    <w:rsid w:val="00E93917"/>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34A0"/>
    <w:rsid w:val="00F36A82"/>
    <w:rsid w:val="00F37552"/>
    <w:rsid w:val="00F46686"/>
    <w:rsid w:val="00F538CE"/>
    <w:rsid w:val="00F56B42"/>
    <w:rsid w:val="00F63AC3"/>
    <w:rsid w:val="00F67E9C"/>
    <w:rsid w:val="00F77776"/>
    <w:rsid w:val="00F77D6B"/>
    <w:rsid w:val="00F87D86"/>
    <w:rsid w:val="00FA014C"/>
    <w:rsid w:val="00FA1701"/>
    <w:rsid w:val="00FB25BC"/>
    <w:rsid w:val="00FB47A9"/>
    <w:rsid w:val="00FB58E6"/>
    <w:rsid w:val="00FB6679"/>
    <w:rsid w:val="0718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0"/>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38"/>
    <w:semiHidden/>
    <w:unhideWhenUsed/>
    <w:uiPriority w:val="99"/>
    <w:rPr>
      <w:sz w:val="18"/>
      <w:szCs w:val="18"/>
    </w:rPr>
  </w:style>
  <w:style w:type="paragraph" w:styleId="14">
    <w:name w:val="footer"/>
    <w:basedOn w:val="1"/>
    <w:link w:val="25"/>
    <w:unhideWhenUsed/>
    <w:uiPriority w:val="99"/>
    <w:pPr>
      <w:tabs>
        <w:tab w:val="center" w:pos="4153"/>
        <w:tab w:val="right" w:pos="8306"/>
      </w:tabs>
      <w:snapToGrid w:val="0"/>
      <w:jc w:val="left"/>
    </w:pPr>
    <w:rPr>
      <w:sz w:val="18"/>
      <w:szCs w:val="18"/>
    </w:rPr>
  </w:style>
  <w:style w:type="paragraph" w:styleId="15">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toc 2"/>
    <w:basedOn w:val="1"/>
    <w:next w:val="1"/>
    <w:autoRedefine/>
    <w:qFormat/>
    <w:uiPriority w:val="39"/>
    <w:pPr>
      <w:widowControl/>
      <w:ind w:left="200" w:leftChars="200"/>
    </w:pPr>
    <w:rPr>
      <w:rFonts w:ascii="Times New Roman" w:hAnsi="Times New Roman" w:cs="Times New Roman"/>
      <w:szCs w:val="24"/>
    </w:rPr>
  </w:style>
  <w:style w:type="paragraph" w:styleId="18">
    <w:name w:val="annotation subject"/>
    <w:basedOn w:val="11"/>
    <w:next w:val="11"/>
    <w:link w:val="41"/>
    <w:semiHidden/>
    <w:unhideWhenUsed/>
    <w:uiPriority w:val="99"/>
    <w:rPr>
      <w:b/>
      <w:bCs/>
    </w:rPr>
  </w:style>
  <w:style w:type="table" w:styleId="20">
    <w:name w:val="Table Grid"/>
    <w:basedOn w:val="1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iPriority w:val="99"/>
    <w:rPr>
      <w:color w:val="0000FF"/>
      <w:u w:val="single"/>
    </w:rPr>
  </w:style>
  <w:style w:type="character" w:styleId="23">
    <w:name w:val="annotation reference"/>
    <w:basedOn w:val="21"/>
    <w:semiHidden/>
    <w:unhideWhenUsed/>
    <w:uiPriority w:val="99"/>
    <w:rPr>
      <w:sz w:val="16"/>
      <w:szCs w:val="16"/>
    </w:rPr>
  </w:style>
  <w:style w:type="character" w:customStyle="1" w:styleId="24">
    <w:name w:val="页眉 Char"/>
    <w:basedOn w:val="21"/>
    <w:link w:val="15"/>
    <w:uiPriority w:val="0"/>
    <w:rPr>
      <w:sz w:val="18"/>
      <w:szCs w:val="18"/>
    </w:rPr>
  </w:style>
  <w:style w:type="character" w:customStyle="1" w:styleId="25">
    <w:name w:val="页脚 Char"/>
    <w:basedOn w:val="21"/>
    <w:link w:val="14"/>
    <w:uiPriority w:val="99"/>
    <w:rPr>
      <w:sz w:val="18"/>
      <w:szCs w:val="18"/>
    </w:rPr>
  </w:style>
  <w:style w:type="character" w:customStyle="1" w:styleId="26">
    <w:name w:val="标题 2 字符"/>
    <w:basedOn w:val="21"/>
    <w:semiHidden/>
    <w:uiPriority w:val="9"/>
    <w:rPr>
      <w:rFonts w:asciiTheme="majorHAnsi" w:hAnsiTheme="majorHAnsi" w:eastAsiaTheme="majorEastAsia" w:cstheme="majorBidi"/>
      <w:b/>
      <w:bCs/>
      <w:sz w:val="32"/>
      <w:szCs w:val="32"/>
    </w:rPr>
  </w:style>
  <w:style w:type="character" w:customStyle="1" w:styleId="27">
    <w:name w:val="标题 3 Char"/>
    <w:basedOn w:val="21"/>
    <w:link w:val="4"/>
    <w:uiPriority w:val="0"/>
    <w:rPr>
      <w:rFonts w:ascii="Times New Roman" w:hAnsi="Times New Roman" w:eastAsia="黑体" w:cs="Times New Roman"/>
      <w:b/>
      <w:bCs/>
      <w:sz w:val="28"/>
      <w:szCs w:val="24"/>
      <w:lang w:val="zh-CN" w:eastAsia="zh-CN"/>
    </w:rPr>
  </w:style>
  <w:style w:type="character" w:customStyle="1" w:styleId="28">
    <w:name w:val="标题 4 Char"/>
    <w:basedOn w:val="21"/>
    <w:link w:val="5"/>
    <w:uiPriority w:val="0"/>
    <w:rPr>
      <w:rFonts w:ascii="Arial" w:hAnsi="Arial" w:eastAsia="黑体" w:cs="Times New Roman"/>
      <w:b/>
      <w:bCs/>
      <w:sz w:val="24"/>
      <w:szCs w:val="28"/>
    </w:rPr>
  </w:style>
  <w:style w:type="character" w:customStyle="1" w:styleId="29">
    <w:name w:val="标题 2 Char"/>
    <w:link w:val="3"/>
    <w:uiPriority w:val="0"/>
    <w:rPr>
      <w:rFonts w:ascii="Arial" w:hAnsi="Arial" w:eastAsia="黑体" w:cs="Times New Roman"/>
      <w:b/>
      <w:bCs/>
      <w:sz w:val="30"/>
      <w:szCs w:val="32"/>
      <w:lang w:val="zh-CN" w:eastAsia="zh-CN"/>
    </w:rPr>
  </w:style>
  <w:style w:type="character" w:customStyle="1" w:styleId="30">
    <w:name w:val="标题 1 Char"/>
    <w:basedOn w:val="21"/>
    <w:link w:val="2"/>
    <w:uiPriority w:val="9"/>
    <w:rPr>
      <w:b/>
      <w:bCs/>
      <w:kern w:val="44"/>
      <w:sz w:val="44"/>
      <w:szCs w:val="44"/>
    </w:rPr>
  </w:style>
  <w:style w:type="character" w:customStyle="1" w:styleId="31">
    <w:name w:val="标题 5 Char"/>
    <w:basedOn w:val="21"/>
    <w:link w:val="6"/>
    <w:uiPriority w:val="0"/>
    <w:rPr>
      <w:rFonts w:ascii="Arial" w:hAnsi="Arial" w:eastAsia="黑体" w:cs="Times New Roman"/>
      <w:b/>
      <w:sz w:val="28"/>
      <w:szCs w:val="28"/>
      <w:lang w:val="zh-CN" w:eastAsia="zh-CN"/>
    </w:rPr>
  </w:style>
  <w:style w:type="character" w:customStyle="1" w:styleId="32">
    <w:name w:val="标题 6 Char"/>
    <w:basedOn w:val="21"/>
    <w:link w:val="7"/>
    <w:uiPriority w:val="0"/>
    <w:rPr>
      <w:rFonts w:ascii="Arial" w:hAnsi="Arial" w:eastAsia="黑体" w:cs="Times New Roman"/>
      <w:b/>
      <w:bCs/>
      <w:sz w:val="24"/>
      <w:szCs w:val="24"/>
    </w:rPr>
  </w:style>
  <w:style w:type="character" w:customStyle="1" w:styleId="33">
    <w:name w:val="标题 7 Char"/>
    <w:basedOn w:val="21"/>
    <w:link w:val="8"/>
    <w:uiPriority w:val="0"/>
    <w:rPr>
      <w:rFonts w:ascii="Times New Roman" w:hAnsi="Times New Roman" w:eastAsia="宋体" w:cs="Times New Roman"/>
      <w:b/>
      <w:bCs/>
      <w:sz w:val="24"/>
      <w:szCs w:val="24"/>
    </w:rPr>
  </w:style>
  <w:style w:type="character" w:customStyle="1" w:styleId="34">
    <w:name w:val="标题 8 Char"/>
    <w:basedOn w:val="21"/>
    <w:link w:val="9"/>
    <w:uiPriority w:val="0"/>
    <w:rPr>
      <w:rFonts w:ascii="Arial" w:hAnsi="Arial" w:eastAsia="黑体" w:cs="Times New Roman"/>
      <w:sz w:val="24"/>
      <w:szCs w:val="24"/>
    </w:rPr>
  </w:style>
  <w:style w:type="character" w:customStyle="1" w:styleId="35">
    <w:name w:val="标题 9 Char"/>
    <w:basedOn w:val="21"/>
    <w:link w:val="10"/>
    <w:uiPriority w:val="0"/>
    <w:rPr>
      <w:rFonts w:ascii="Arial" w:hAnsi="Arial" w:eastAsia="黑体" w:cs="Times New Roman"/>
      <w:szCs w:val="21"/>
    </w:rPr>
  </w:style>
  <w:style w:type="paragraph" w:customStyle="1" w:styleId="36">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7">
    <w:name w:val="列出段落1"/>
    <w:basedOn w:val="1"/>
    <w:qFormat/>
    <w:uiPriority w:val="34"/>
    <w:pPr>
      <w:widowControl/>
      <w:ind w:left="420" w:firstLine="420" w:firstLineChars="200"/>
    </w:pPr>
    <w:rPr>
      <w:rFonts w:ascii="Calibri" w:hAnsi="Calibri" w:cs="Times New Roman"/>
    </w:rPr>
  </w:style>
  <w:style w:type="character" w:customStyle="1" w:styleId="38">
    <w:name w:val="批注框文本 Char"/>
    <w:basedOn w:val="21"/>
    <w:link w:val="13"/>
    <w:semiHidden/>
    <w:uiPriority w:val="99"/>
    <w:rPr>
      <w:sz w:val="18"/>
      <w:szCs w:val="18"/>
    </w:rPr>
  </w:style>
  <w:style w:type="paragraph" w:styleId="39">
    <w:name w:val="List Paragraph"/>
    <w:basedOn w:val="1"/>
    <w:qFormat/>
    <w:uiPriority w:val="34"/>
    <w:pPr>
      <w:ind w:firstLine="420" w:firstLineChars="200"/>
    </w:pPr>
  </w:style>
  <w:style w:type="character" w:customStyle="1" w:styleId="40">
    <w:name w:val="批注文字 Char"/>
    <w:basedOn w:val="21"/>
    <w:link w:val="11"/>
    <w:semiHidden/>
    <w:uiPriority w:val="99"/>
    <w:rPr>
      <w:sz w:val="20"/>
      <w:szCs w:val="20"/>
    </w:rPr>
  </w:style>
  <w:style w:type="character" w:customStyle="1" w:styleId="41">
    <w:name w:val="批注主题 Char"/>
    <w:basedOn w:val="40"/>
    <w:link w:val="18"/>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8.jpeg"/><Relationship Id="rId16" Type="http://schemas.openxmlformats.org/officeDocument/2006/relationships/image" Target="media/image7.wmf"/><Relationship Id="rId15" Type="http://schemas.openxmlformats.org/officeDocument/2006/relationships/oleObject" Target="embeddings/oleObject1.bin"/><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tmp5.dotx</Template>
  <Pages>11</Pages>
  <Words>2005</Words>
  <Characters>2647</Characters>
  <Lines>22</Lines>
  <Paragraphs>6</Paragraphs>
  <TotalTime>0</TotalTime>
  <ScaleCrop>false</ScaleCrop>
  <LinksUpToDate>false</LinksUpToDate>
  <CharactersWithSpaces>2789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2024-03-16T03:32:00Z</dcterms:created>
  <dc:creator>RBbird.</dc:creator>
  <cp:lastModifiedBy>RBbird.</cp:lastModifiedBy>
  <dcterms:modified xsi:type="dcterms:W3CDTF">2024-03-16T03:32:48Z</dcterms:modified>
  <dc:title>绿色建筑颗粒物预评价报告书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87F8B119C3864BB3AD6927DE6D750424_11</vt:lpwstr>
  </property>
  <property fmtid="{D5CDD505-2E9C-101B-9397-08002B2CF9AE}" pid="3" name="KSOProductBuildVer">
    <vt:lpwstr>2052-12.1.0.16250</vt:lpwstr>
  </property>
</Properties>
</file>