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5" w:name="_GoBack"/>
      <w:bookmarkEnd w:id="35"/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建筑可开启面积比例计算书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普洱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628775" cy="16287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9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T15862176512</w:t>
            </w:r>
            <w:bookmarkEnd w:id="9"/>
          </w:p>
        </w:tc>
      </w:tr>
    </w:tbl>
    <w:p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>
      <w:pPr>
        <w:pStyle w:val="17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>
      <w:pPr>
        <w:pStyle w:val="2"/>
      </w:pPr>
      <w:bookmarkStart w:id="10" w:name="_Toc420663548"/>
      <w:bookmarkStart w:id="11" w:name="_Toc420309360"/>
      <w:r>
        <w:rPr>
          <w:rFonts w:hint="eastAsia"/>
        </w:rPr>
        <w:t>建筑概况</w:t>
      </w:r>
      <w:bookmarkEnd w:id="10"/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6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  <w:lang w:val="en-US"/>
              </w:rPr>
              <w:t>普洱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vertAlign w:val="superscript"/>
                <w:lang w:val="en-US"/>
              </w:rPr>
            </w:pPr>
            <w:bookmarkStart w:id="14" w:name="建筑面积"/>
            <w:r>
              <w:rPr>
                <w:rFonts w:ascii="宋体" w:hAnsi="宋体"/>
                <w:lang w:val="en-US"/>
              </w:rPr>
              <w:t>880</w:t>
            </w:r>
            <w:bookmarkEnd w:id="14"/>
            <w:r>
              <w:rPr>
                <w:rFonts w:hint="eastAsia" w:ascii="宋体" w:hAnsi="宋体"/>
                <w:lang w:val="en-US"/>
              </w:rPr>
              <w:t>m</w:t>
            </w:r>
            <w:r>
              <w:rPr>
                <w:rFonts w:hint="eastAsia" w:ascii="宋体" w:hAnsi="宋体"/>
                <w:vertAlign w:val="superscript"/>
                <w:lang w:val="en-US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层数"/>
            <w:r>
              <w:rPr>
                <w:rFonts w:hint="eastAsia" w:ascii="宋体" w:hAnsi="宋体"/>
                <w:lang w:val="en-US"/>
              </w:rPr>
              <w:t>4</w:t>
            </w:r>
            <w:bookmarkEnd w:id="15"/>
            <w:r>
              <w:rPr>
                <w:rFonts w:hint="eastAsia" w:ascii="宋体" w:hAnsi="宋体"/>
                <w:lang w:val="en-US"/>
              </w:rPr>
              <w:t>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高度"/>
            <w:r>
              <w:rPr>
                <w:rFonts w:hint="eastAsia" w:ascii="宋体" w:hAnsi="宋体"/>
                <w:lang w:val="en-US"/>
              </w:rPr>
              <w:t>13.9</w:t>
            </w:r>
            <w:bookmarkEnd w:id="16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</w:tbl>
    <w:p>
      <w:pPr>
        <w:pStyle w:val="2"/>
      </w:pPr>
      <w:bookmarkStart w:id="17" w:name="_Toc420309361"/>
      <w:bookmarkStart w:id="18" w:name="_Toc420663549"/>
      <w:bookmarkStart w:id="19" w:name="TitleFormat"/>
      <w:r>
        <w:rPr>
          <w:rFonts w:hint="eastAsia"/>
        </w:rPr>
        <w:t>计算依据</w:t>
      </w:r>
      <w:bookmarkEnd w:id="17"/>
      <w:bookmarkEnd w:id="18"/>
    </w:p>
    <w:bookmarkEnd w:id="1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20" w:name="计算依据"/>
      <w:bookmarkEnd w:id="20"/>
      <w:r>
        <w:rPr>
          <w:rFonts w:hint="eastAsia"/>
          <w:kern w:val="2"/>
          <w:sz w:val="21"/>
          <w:szCs w:val="24"/>
          <w:lang w:val="en-US"/>
        </w:rPr>
        <w:t>1. 《绿色建筑评价标准》(GB/T50378-2014)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1" w:name="工程名称3"/>
      <w:bookmarkEnd w:id="21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>
      <w:pPr>
        <w:pStyle w:val="2"/>
        <w:rPr>
          <w:kern w:val="2"/>
        </w:rPr>
      </w:pPr>
      <w:bookmarkStart w:id="22" w:name="_Toc420663550"/>
      <w:r>
        <w:rPr>
          <w:rFonts w:hint="eastAsia"/>
          <w:kern w:val="2"/>
        </w:rPr>
        <w:t>计算目的</w:t>
      </w:r>
      <w:bookmarkEnd w:id="22"/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为了使室内人员在较好的室外气象条件下，可通过开启外窗通风来获得热舒适性和良好的室内空气品质。另外，做好自然通风气流组织设计，保证一定的外窗可开启面积，可以减少房间空调设备的运行时间，节约能源，提高舒适性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《绿色建筑评价标准》(GB/T50378-2014)中规定：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5.2.2</w:t>
      </w:r>
      <w:r>
        <w:rPr>
          <w:rFonts w:hint="eastAsia"/>
          <w:kern w:val="2"/>
          <w:sz w:val="21"/>
          <w:szCs w:val="24"/>
          <w:lang w:val="en-US"/>
        </w:rPr>
        <w:t xml:space="preserve"> 外窗、玻璃幕墙的可开启部分能使建筑获得良好的通风，评价总分值为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分，并按下列规则评分：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设玻璃幕墙且不设外窗的建筑，其玻璃幕墙透明部分可开启面积比例达到</w:t>
      </w:r>
      <w:r>
        <w:rPr>
          <w:kern w:val="2"/>
          <w:sz w:val="21"/>
          <w:szCs w:val="24"/>
          <w:lang w:val="en-US"/>
        </w:rPr>
        <w:t xml:space="preserve">5 % 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1 0 %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设外窗且不设玻璃幕墙的建筑，外窗可开启面积比例达到</w:t>
      </w:r>
      <w:r>
        <w:rPr>
          <w:kern w:val="2"/>
          <w:sz w:val="21"/>
          <w:szCs w:val="24"/>
          <w:lang w:val="en-US"/>
        </w:rPr>
        <w:t>3 0 %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4 </w:t>
      </w:r>
      <w:r>
        <w:rPr>
          <w:rFonts w:hint="eastAsia"/>
          <w:kern w:val="2"/>
          <w:sz w:val="21"/>
          <w:szCs w:val="24"/>
          <w:lang w:val="en-US"/>
        </w:rPr>
        <w:t>分；达到</w:t>
      </w:r>
      <w:r>
        <w:rPr>
          <w:kern w:val="2"/>
          <w:sz w:val="21"/>
          <w:szCs w:val="24"/>
          <w:lang w:val="en-US"/>
        </w:rPr>
        <w:t>3 5 %</w:t>
      </w:r>
      <w:r>
        <w:rPr>
          <w:rFonts w:hint="eastAsia"/>
          <w:kern w:val="2"/>
          <w:sz w:val="21"/>
          <w:szCs w:val="24"/>
          <w:lang w:val="en-US"/>
        </w:rPr>
        <w:t>，得</w:t>
      </w:r>
      <w:r>
        <w:rPr>
          <w:kern w:val="2"/>
          <w:sz w:val="21"/>
          <w:szCs w:val="24"/>
          <w:lang w:val="en-US"/>
        </w:rPr>
        <w:t xml:space="preserve">6 </w:t>
      </w:r>
      <w:r>
        <w:rPr>
          <w:rFonts w:hint="eastAsia"/>
          <w:kern w:val="2"/>
          <w:sz w:val="21"/>
          <w:szCs w:val="24"/>
          <w:lang w:val="en-US"/>
        </w:rPr>
        <w:t>分。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3 </w:t>
      </w:r>
      <w:r>
        <w:rPr>
          <w:rFonts w:hint="eastAsia"/>
          <w:kern w:val="2"/>
          <w:sz w:val="21"/>
          <w:szCs w:val="24"/>
          <w:lang w:val="en-US"/>
        </w:rPr>
        <w:t>设玻璃幕墙和外窗的建筑，对其玻璃幕墙透明部分和外窗分别按本条第</w:t>
      </w:r>
      <w:r>
        <w:rPr>
          <w:kern w:val="2"/>
          <w:sz w:val="21"/>
          <w:szCs w:val="24"/>
          <w:lang w:val="en-US"/>
        </w:rPr>
        <w:t xml:space="preserve">1 </w:t>
      </w:r>
      <w:r>
        <w:rPr>
          <w:rFonts w:hint="eastAsia"/>
          <w:kern w:val="2"/>
          <w:sz w:val="21"/>
          <w:szCs w:val="24"/>
          <w:lang w:val="en-US"/>
        </w:rPr>
        <w:t>款和第</w:t>
      </w:r>
      <w:r>
        <w:rPr>
          <w:kern w:val="2"/>
          <w:sz w:val="21"/>
          <w:szCs w:val="24"/>
          <w:lang w:val="en-US"/>
        </w:rPr>
        <w:t xml:space="preserve">2 </w:t>
      </w:r>
      <w:r>
        <w:rPr>
          <w:rFonts w:hint="eastAsia"/>
          <w:kern w:val="2"/>
          <w:sz w:val="21"/>
          <w:szCs w:val="24"/>
          <w:lang w:val="en-US"/>
        </w:rPr>
        <w:t>款进行评价，得分取两项得分的平均值。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《绿色建筑评价技术细则》5.2.2的【具体评价方式】</w:t>
      </w:r>
      <w:r>
        <w:rPr>
          <w:rFonts w:hint="eastAsia"/>
          <w:kern w:val="2"/>
          <w:sz w:val="21"/>
          <w:szCs w:val="24"/>
          <w:lang w:val="en-US"/>
        </w:rPr>
        <w:t>中规定：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当建筑层数大于18层时，18层以上部分不参评，仅对其第18层及以下各层的外窗和玻璃幕墙可开启面积比例进行评价</w:t>
      </w:r>
      <w:r>
        <w:rPr>
          <w:rFonts w:hint="eastAsia"/>
          <w:kern w:val="2"/>
          <w:sz w:val="21"/>
          <w:szCs w:val="24"/>
          <w:lang w:val="en-US"/>
        </w:rPr>
        <w:t>。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本计算书主要通过对建筑18层及18层以下部分的外窗与玻璃幕墙可开启面积比例的计算，判断设计建筑对该条文的符合情况。</w:t>
      </w:r>
    </w:p>
    <w:p>
      <w:pPr>
        <w:pStyle w:val="2"/>
        <w:rPr>
          <w:kern w:val="2"/>
        </w:rPr>
      </w:pPr>
      <w:bookmarkStart w:id="23" w:name="_Toc420663551"/>
      <w:r>
        <w:rPr>
          <w:rFonts w:hint="eastAsia"/>
          <w:kern w:val="2"/>
        </w:rPr>
        <w:t>计算内容</w:t>
      </w:r>
      <w:bookmarkEnd w:id="23"/>
      <w:r>
        <w:rPr>
          <w:rFonts w:hint="eastAsia"/>
          <w:kern w:val="2"/>
        </w:rPr>
        <w:t>和方法</w:t>
      </w:r>
    </w:p>
    <w:p>
      <w:pPr>
        <w:pStyle w:val="4"/>
      </w:pPr>
      <w:r>
        <w:rPr>
          <w:rFonts w:hint="eastAsia"/>
        </w:rPr>
        <w:t>计算内容</w:t>
      </w:r>
    </w:p>
    <w:p>
      <w:pPr>
        <w:widowControl w:val="0"/>
        <w:spacing w:line="240" w:lineRule="auto"/>
        <w:ind w:firstLine="420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本计算书为</w:t>
      </w:r>
      <w:bookmarkStart w:id="24" w:name="工程名称4"/>
      <w:bookmarkEnd w:id="24"/>
      <w:r>
        <w:rPr>
          <w:rFonts w:hint="eastAsia"/>
          <w:kern w:val="2"/>
          <w:sz w:val="21"/>
          <w:szCs w:val="24"/>
          <w:lang w:val="en-US"/>
        </w:rPr>
        <w:t>建筑可开启面积比例的计算书。</w:t>
      </w:r>
    </w:p>
    <w:p>
      <w:pPr>
        <w:pStyle w:val="4"/>
      </w:pPr>
      <w:r>
        <w:rPr>
          <w:rFonts w:hint="eastAsia"/>
        </w:rPr>
        <w:t>计算方法</w:t>
      </w:r>
    </w:p>
    <w:p>
      <w:pPr>
        <w:widowControl w:val="0"/>
        <w:spacing w:line="240" w:lineRule="auto"/>
        <w:ind w:firstLine="422" w:firstLineChars="200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4.2.1 外窗可开启面积比例计算：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5" o:spt="75" type="#_x0000_t75" style="height:34.5pt;width:107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6" o:spt="75" type="#_x0000_t75" style="height:18.75pt;width:3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—外窗可开启面积比例（%）；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7" o:spt="75" type="#_x0000_t75" style="height:18.75pt;width:26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7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—18层及18层以下部分的外窗可开启面积之和（m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28" o:spt="75" type="#_x0000_t75" style="height:18.75pt;width:22.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9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 —18层及18层以下部分的外窗面积之和（m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注：可开启面积即可开启窗扇的洞口面积。如图1所示。</w:t>
      </w: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firstLine="424" w:firstLineChars="201"/>
        <w:rPr>
          <w:kern w:val="2"/>
          <w:sz w:val="21"/>
          <w:szCs w:val="24"/>
          <w:lang w:val="en-US"/>
        </w:rPr>
      </w:pPr>
      <w:r>
        <w:rPr>
          <w:rFonts w:hint="eastAsia"/>
          <w:b/>
          <w:kern w:val="2"/>
          <w:sz w:val="21"/>
          <w:szCs w:val="24"/>
          <w:lang w:val="en-US"/>
        </w:rPr>
        <w:t>4.2.2 玻璃幕墙可开启面积比例计算：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position w:val="-30"/>
          <w:sz w:val="21"/>
          <w:szCs w:val="24"/>
          <w:lang w:val="en-US"/>
        </w:rPr>
        <w:object>
          <v:shape id="_x0000_i1029" o:spt="75" type="#_x0000_t75" style="height:34.5pt;width:108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1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</w:p>
    <w:p>
      <w:pPr>
        <w:widowControl w:val="0"/>
        <w:spacing w:line="240" w:lineRule="auto"/>
        <w:ind w:left="360" w:leftChars="200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式中：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0" o:spt="75" type="#_x0000_t75" style="height:18.75pt;width:34.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3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—玻璃幕墙可开启面积比例（%）；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1" o:spt="75" type="#_x0000_t75" style="height:18.75pt;width:2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5">
            <o:LockedField>false</o:LockedField>
          </o:OLEObject>
        </w:objec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 xml:space="preserve"> —18层及18层以下部分的玻璃幕墙可开启面积之和（m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  <w:r>
        <w:rPr>
          <w:kern w:val="2"/>
          <w:position w:val="-12"/>
          <w:sz w:val="21"/>
          <w:szCs w:val="24"/>
          <w:lang w:val="en-US"/>
        </w:rPr>
        <w:object>
          <v:shape id="_x0000_i1032" o:spt="75" type="#_x0000_t75" style="height:18.75pt;width:2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7">
            <o:LockedField>false</o:LockedField>
          </o:OLEObject>
        </w:object>
      </w:r>
      <w:r>
        <w:rPr>
          <w:rFonts w:hint="eastAsia"/>
          <w:kern w:val="2"/>
          <w:sz w:val="21"/>
          <w:szCs w:val="24"/>
          <w:lang w:val="en-US"/>
        </w:rPr>
        <w:t xml:space="preserve">  </w:t>
      </w:r>
      <w:r>
        <w:rPr>
          <w:kern w:val="2"/>
          <w:sz w:val="21"/>
          <w:szCs w:val="24"/>
          <w:lang w:val="en-US"/>
        </w:rPr>
        <w:t xml:space="preserve"> </w:t>
      </w:r>
      <w:r>
        <w:rPr>
          <w:rFonts w:hint="eastAsia"/>
          <w:kern w:val="2"/>
          <w:sz w:val="21"/>
          <w:szCs w:val="24"/>
          <w:lang w:val="en-US"/>
        </w:rPr>
        <w:t>—18层及18层以下部分的玻璃幕墙透明部分面积之和（m</w:t>
      </w:r>
      <w:r>
        <w:rPr>
          <w:rFonts w:hint="eastAsia"/>
          <w:kern w:val="2"/>
          <w:sz w:val="21"/>
          <w:szCs w:val="24"/>
          <w:vertAlign w:val="superscript"/>
          <w:lang w:val="en-US"/>
        </w:rPr>
        <w:t>2</w:t>
      </w:r>
      <w:r>
        <w:rPr>
          <w:rFonts w:hint="eastAsia"/>
          <w:kern w:val="2"/>
          <w:sz w:val="21"/>
          <w:szCs w:val="24"/>
          <w:lang w:val="en-US"/>
        </w:rPr>
        <w:t>）；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drawing>
          <wp:inline distT="0" distB="0" distL="0" distR="0">
            <wp:extent cx="4010025" cy="2341880"/>
            <wp:effectExtent l="0" t="0" r="0" b="1270"/>
            <wp:docPr id="10" name="图片 10" descr="开口面积和开启面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开口面积和开启面积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1818" cy="234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图1</w:t>
      </w:r>
      <w:r>
        <w:rPr>
          <w:rFonts w:hint="eastAsia"/>
          <w:kern w:val="2"/>
          <w:sz w:val="21"/>
          <w:szCs w:val="24"/>
          <w:lang w:val="en-US"/>
        </w:rPr>
        <w:tab/>
      </w:r>
      <w:r>
        <w:rPr>
          <w:rFonts w:hint="eastAsia"/>
          <w:kern w:val="2"/>
          <w:sz w:val="21"/>
          <w:szCs w:val="24"/>
          <w:lang w:val="en-US"/>
        </w:rPr>
        <w:t>可开启面积和通风开口面积关系示意图</w:t>
      </w:r>
    </w:p>
    <w:p>
      <w:pPr>
        <w:widowControl w:val="0"/>
        <w:spacing w:line="240" w:lineRule="auto"/>
        <w:ind w:left="900" w:leftChars="500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ind w:left="900" w:leftChars="500"/>
        <w:rPr>
          <w:kern w:val="2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  <w:sz w:val="21"/>
          <w:szCs w:val="24"/>
        </w:rPr>
      </w:pPr>
      <w:r>
        <w:rPr>
          <w:rFonts w:hint="eastAsia"/>
          <w:kern w:val="2"/>
        </w:rPr>
        <w:t>可开启面积比例统计</w:t>
      </w:r>
    </w:p>
    <w:p>
      <w:pPr>
        <w:widowControl w:val="0"/>
        <w:spacing w:line="240" w:lineRule="auto"/>
        <w:jc w:val="center"/>
        <w:rPr>
          <w:kern w:val="2"/>
          <w:sz w:val="21"/>
          <w:szCs w:val="24"/>
          <w:lang w:val="en-US"/>
        </w:rPr>
      </w:pPr>
      <w:bookmarkStart w:id="25" w:name="统计计算表表头"/>
      <w:r>
        <w:rPr>
          <w:rFonts w:hint="eastAsia"/>
          <w:kern w:val="2"/>
          <w:sz w:val="21"/>
          <w:szCs w:val="24"/>
          <w:lang w:val="en-US"/>
        </w:rPr>
        <w:t>表1-建筑可开启面积比例统计计算表</w:t>
      </w:r>
      <w:bookmarkEnd w:id="25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26" w:name="外窗表标示"/>
      <w:r>
        <w:rPr>
          <w:rFonts w:hint="eastAsia"/>
          <w:kern w:val="2"/>
          <w:sz w:val="21"/>
          <w:szCs w:val="24"/>
          <w:lang w:val="en-US"/>
        </w:rPr>
        <w:t>外窗</w:t>
      </w:r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南向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JC5215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7.79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7.79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7" w:name="外窗统计计算表南向"/>
      <w:bookmarkEnd w:id="27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北向</w:t>
      </w:r>
    </w:p>
    <w:p>
      <w:pPr>
        <w:rPr>
          <w:szCs w:val="24"/>
        </w:rPr>
      </w:pPr>
      <w:bookmarkStart w:id="28" w:name="外窗统计计算表北向"/>
      <w:r>
        <w:t>无</w:t>
      </w:r>
      <w:bookmarkEnd w:id="28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东向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JC3115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4.61</w:t>
            </w:r>
          </w:p>
        </w:tc>
        <w:tc>
          <w:tcPr>
            <w:vAlign w:val="center"/>
          </w:tcPr>
          <w:p>
            <w:r>
              <w:t>3.08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4.61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JC3215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JC3315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39.48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39.46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</w:tbl>
    <w:p>
      <w:pPr>
        <w:rPr>
          <w:szCs w:val="24"/>
        </w:rPr>
      </w:pPr>
      <w:bookmarkStart w:id="29" w:name="外窗统计计算表东向"/>
      <w:bookmarkEnd w:id="29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西向</w:t>
      </w:r>
    </w:p>
    <w:p>
      <w:pPr>
        <w:rPr>
          <w:szCs w:val="24"/>
        </w:rPr>
      </w:pPr>
      <w:bookmarkStart w:id="30" w:name="外窗统计计算表西向"/>
      <w:r>
        <w:t>无</w:t>
      </w:r>
      <w:bookmarkEnd w:id="30"/>
    </w:p>
    <w:p>
      <w:pPr>
        <w:pStyle w:val="23"/>
        <w:numPr>
          <w:ilvl w:val="0"/>
          <w:numId w:val="2"/>
        </w:numPr>
        <w:ind w:firstLineChars="0"/>
        <w:rPr>
          <w:szCs w:val="24"/>
        </w:rPr>
      </w:pPr>
      <w:r>
        <w:rPr>
          <w:rFonts w:hint="eastAsia"/>
          <w:szCs w:val="24"/>
        </w:rPr>
        <w:t>总计</w:t>
      </w:r>
    </w:p>
    <w:tbl>
      <w:tblPr>
        <w:tblStyle w:val="19"/>
        <w:tblW w:w="1382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60"/>
        <w:gridCol w:w="1060"/>
        <w:gridCol w:w="1060"/>
        <w:gridCol w:w="1060"/>
        <w:gridCol w:w="1060"/>
        <w:gridCol w:w="1060"/>
        <w:gridCol w:w="1060"/>
        <w:gridCol w:w="1060"/>
        <w:gridCol w:w="106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</w:tcPr>
          <w:p>
            <w:r>
              <w:t>外窗</w:t>
            </w:r>
          </w:p>
        </w:tc>
        <w:tc>
          <w:tcPr>
            <w:gridSpan w:val="3"/>
            <w:vAlign w:val="center"/>
          </w:tcPr>
          <w:p>
            <w:r>
              <w:t>外窗尺寸</w:t>
            </w:r>
          </w:p>
        </w:tc>
        <w:tc>
          <w:tcPr>
            <w:gridSpan w:val="4"/>
            <w:vAlign w:val="center"/>
          </w:tcPr>
          <w:p>
            <w:r>
              <w:t>外窗可开启面积尺寸</w:t>
            </w:r>
          </w:p>
        </w:tc>
        <w:tc>
          <w:tcPr>
            <w:vMerge w:val="restart"/>
            <w:vAlign w:val="center"/>
          </w:tcPr>
          <w:p>
            <w:r>
              <w:t>可开启面积比例(%)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编号</w:t>
            </w:r>
          </w:p>
        </w:tc>
        <w:tc>
          <w:tcPr>
            <w:vAlign w:val="center"/>
          </w:tcPr>
          <w:p>
            <w:r>
              <w:t>类型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Align w:val="center"/>
          </w:tcPr>
          <w:p>
            <w:r>
              <w:t>宽度(m)</w:t>
            </w:r>
          </w:p>
        </w:tc>
        <w:tc>
          <w:tcPr>
            <w:vAlign w:val="center"/>
          </w:tcPr>
          <w:p>
            <w:r>
              <w:t>高度(m)</w:t>
            </w:r>
          </w:p>
        </w:tc>
        <w:tc>
          <w:tcPr>
            <w:vAlign w:val="center"/>
          </w:tcPr>
          <w:p>
            <w:r>
              <w:t>数量(个)</w:t>
            </w:r>
          </w:p>
        </w:tc>
        <w:tc>
          <w:tcPr>
            <w:vAlign w:val="center"/>
          </w:tcPr>
          <w:p>
            <w:r>
              <w:t>面积(㎡)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C3630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JC3115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3.08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4.61</w:t>
            </w:r>
          </w:p>
        </w:tc>
        <w:tc>
          <w:tcPr>
            <w:vAlign w:val="center"/>
          </w:tcPr>
          <w:p>
            <w:r>
              <w:t>3.08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4.61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JC3215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3.20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JC3315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vAlign w:val="center"/>
          </w:tcPr>
          <w:p>
            <w:r>
              <w:t>3.28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JC5215</w:t>
            </w:r>
          </w:p>
        </w:tc>
        <w:tc>
          <w:tcPr>
            <w:vAlign w:val="center"/>
          </w:tcPr>
          <w:p>
            <w:r>
              <w:t>推拉窗-向左开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7.79</w:t>
            </w:r>
          </w:p>
        </w:tc>
        <w:tc>
          <w:tcPr>
            <w:vAlign w:val="center"/>
          </w:tcPr>
          <w:p>
            <w:r>
              <w:t>5.20</w:t>
            </w:r>
          </w:p>
        </w:tc>
        <w:tc>
          <w:tcPr>
            <w:vAlign w:val="center"/>
          </w:tcPr>
          <w:p>
            <w:r>
              <w:t>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7.79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47.27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—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47.25</w:t>
            </w:r>
          </w:p>
        </w:tc>
        <w:tc>
          <w:tcPr>
            <w:vAlign w:val="center"/>
          </w:tcPr>
          <w:p>
            <w:r>
              <w:t>100</w:t>
            </w:r>
          </w:p>
        </w:tc>
      </w:tr>
      <w:bookmarkEnd w:id="26"/>
    </w:tbl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1" w:name="外窗统计计算表"/>
      <w:bookmarkEnd w:id="31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  <w:bookmarkStart w:id="32" w:name="玻璃幕墙统计计算表"/>
      <w:bookmarkEnd w:id="32"/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rPr>
          <w:kern w:val="2"/>
          <w:sz w:val="21"/>
          <w:szCs w:val="24"/>
          <w:lang w:val="en-US"/>
        </w:rPr>
        <w:sectPr>
          <w:headerReference r:id="rId7" w:type="default"/>
          <w:footerReference r:id="rId8" w:type="default"/>
          <w:pgSz w:w="16838" w:h="11906" w:orient="landscape"/>
          <w:pgMar w:top="1418" w:right="1440" w:bottom="1418" w:left="1440" w:header="851" w:footer="992" w:gutter="0"/>
          <w:cols w:space="425" w:num="1"/>
          <w:docGrid w:type="lines" w:linePitch="312" w:charSpace="0"/>
        </w:sectPr>
      </w:pPr>
    </w:p>
    <w:p>
      <w:pPr>
        <w:pStyle w:val="2"/>
        <w:rPr>
          <w:kern w:val="2"/>
        </w:rPr>
      </w:pPr>
      <w:bookmarkStart w:id="33" w:name="_Toc420663553"/>
      <w:r>
        <w:rPr>
          <w:rFonts w:hint="eastAsia"/>
          <w:kern w:val="2"/>
        </w:rPr>
        <w:t>结论</w:t>
      </w:r>
      <w:bookmarkEnd w:id="33"/>
    </w:p>
    <w:p>
      <w:pPr>
        <w:pStyle w:val="3"/>
        <w:ind w:left="360" w:firstLine="0" w:firstLineChars="0"/>
        <w:rPr>
          <w:rFonts w:ascii="宋体" w:hAnsi="宋体"/>
        </w:rPr>
      </w:pPr>
      <w:r>
        <w:rPr>
          <w:rFonts w:ascii="宋体" w:hAnsi="宋体"/>
        </w:rPr>
        <w:t>建筑外窗可开启面积比例为100%，按照5.2.2中条款2的规定，得6分。</w:t>
      </w:r>
    </w:p>
    <w:p>
      <w:pPr>
        <w:pStyle w:val="3"/>
        <w:ind w:left="360" w:firstLine="0" w:firstLineChars="0"/>
        <w:rPr>
          <w:rFonts w:ascii="宋体" w:hAnsi="宋体"/>
        </w:rPr>
      </w:pPr>
    </w:p>
    <w:p>
      <w:pPr>
        <w:pStyle w:val="3"/>
        <w:ind w:firstLine="0" w:firstLineChars="0"/>
        <w:rPr>
          <w:rFonts w:ascii="宋体" w:hAnsi="宋体"/>
        </w:rPr>
      </w:pPr>
      <w:bookmarkStart w:id="34" w:name="门窗详图"/>
      <w:r>
        <w:rPr>
          <w:rFonts w:hint="eastAsia" w:ascii="宋体" w:hAnsi="宋体"/>
        </w:rPr>
        <w:t xml:space="preserve"> </w:t>
      </w:r>
      <w:bookmarkEnd w:id="34"/>
    </w:p>
    <w:p/>
    <w:p>
      <w:pPr>
        <w:pStyle w:val="2"/>
      </w:pPr>
      <w:r>
        <w:t>附录：门窗详图</w:t>
      </w:r>
    </w:p>
    <w:p>
      <w:r>
        <w:t>说明：红色线框表示窗洞，绿色线框表示开启扇。</w:t>
      </w:r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C1121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C3630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2.31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JC3115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JC3215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4.61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4.61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JC3315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JC5215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7.79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4.92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7.79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M1021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M1221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2.10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M2021</w:t>
            </w:r>
          </w:p>
        </w:tc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M3821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8.12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4.20</w:t>
            </w:r>
          </w:p>
        </w:tc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8.12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85900" cy="1485900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门窗编号</w:t>
            </w:r>
          </w:p>
        </w:tc>
        <w:tc>
          <w:tcPr>
            <w:shd w:val="clear" w:color="auto" w:fill="FFFFFF"/>
            <w:vAlign w:val="center"/>
          </w:tcPr>
          <w:p>
            <w:r>
              <w:t>M7621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门窗面积(㎡)</w:t>
            </w:r>
          </w:p>
        </w:tc>
        <w:tc>
          <w:tcPr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开启面积(㎡)</w:t>
            </w:r>
          </w:p>
        </w:tc>
        <w:tc>
          <w:tcPr>
            <w:vAlign w:val="center"/>
          </w:tcPr>
          <w:p>
            <w:r>
              <w:t>1.61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00175" cy="1400175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headerReference r:id="rId9" w:type="default"/>
      <w:footerReference r:id="rId10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124262090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725"/>
      <w:gridCol w:w="4726"/>
      <w:gridCol w:w="472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277840046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ENT2022</w:t>
          </w:r>
        </w:p>
      </w:tc>
    </w:tr>
  </w:tbl>
  <w:p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0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96"/>
      <w:gridCol w:w="3096"/>
      <w:gridCol w:w="309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667" w:type="pct"/>
        </w:tcPr>
        <w:p>
          <w:pPr>
            <w:pStyle w:val="15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2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1667" w:type="pct"/>
        </w:tcPr>
        <w:p>
          <w:pPr>
            <w:pStyle w:val="15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870805781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5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1667" w:type="pct"/>
        </w:tcPr>
        <w:p>
          <w:pPr>
            <w:pStyle w:val="15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ENT2020</w:t>
          </w:r>
        </w:p>
      </w:tc>
    </w:tr>
  </w:tbl>
  <w:p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</w:t>
    </w:r>
    <w:r>
      <w:t>可开启面积比例计算书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建筑可</w:t>
    </w:r>
    <w:r>
      <w:t>开启</w:t>
    </w:r>
    <w:r>
      <w:rPr>
        <w:rFonts w:hint="eastAsia"/>
      </w:rPr>
      <w:t>面积</w:t>
    </w:r>
    <w:r>
      <w:t>比例计算书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22566C8D"/>
    <w:multiLevelType w:val="multilevel"/>
    <w:tmpl w:val="22566C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42489"/>
    <w:rsid w:val="001915A3"/>
    <w:rsid w:val="00217F62"/>
    <w:rsid w:val="00A906D8"/>
    <w:rsid w:val="00AB5A74"/>
    <w:rsid w:val="00F071AE"/>
    <w:rsid w:val="12A4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Balloon Text"/>
    <w:basedOn w:val="1"/>
    <w:link w:val="25"/>
    <w:uiPriority w:val="0"/>
    <w:pPr>
      <w:spacing w:line="240" w:lineRule="auto"/>
    </w:pPr>
    <w:rPr>
      <w:szCs w:val="18"/>
    </w:rPr>
  </w:style>
  <w:style w:type="paragraph" w:styleId="15">
    <w:name w:val="footer"/>
    <w:basedOn w:val="1"/>
    <w:link w:val="2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8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uiPriority w:val="99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widowControl w:val="0"/>
      <w:spacing w:line="240" w:lineRule="auto"/>
      <w:ind w:firstLine="420" w:firstLineChars="200"/>
      <w:jc w:val="both"/>
    </w:pPr>
    <w:rPr>
      <w:rFonts w:ascii="Calibri" w:hAnsi="Calibri"/>
      <w:kern w:val="2"/>
      <w:sz w:val="21"/>
      <w:szCs w:val="22"/>
      <w:lang w:val="en-US"/>
    </w:rPr>
  </w:style>
  <w:style w:type="paragraph" w:customStyle="1" w:styleId="24">
    <w:name w:val="TOC Heading"/>
    <w:basedOn w:val="2"/>
    <w:next w:val="1"/>
    <w:qFormat/>
    <w:uiPriority w:val="39"/>
    <w:pPr>
      <w:keepLines/>
      <w:numPr>
        <w:numId w:val="0"/>
      </w:numPr>
      <w:kinsoku/>
      <w:spacing w:before="480" w:after="0" w:line="276" w:lineRule="auto"/>
      <w:outlineLvl w:val="9"/>
    </w:pPr>
    <w:rPr>
      <w:rFonts w:ascii="Cambria" w:hAnsi="Cambria"/>
      <w:color w:val="365F91"/>
      <w:kern w:val="0"/>
    </w:rPr>
  </w:style>
  <w:style w:type="character" w:customStyle="1" w:styleId="25">
    <w:name w:val="批注框文本 Char"/>
    <w:link w:val="14"/>
    <w:uiPriority w:val="0"/>
    <w:rPr>
      <w:sz w:val="18"/>
      <w:szCs w:val="18"/>
      <w:lang w:val="en-GB"/>
    </w:rPr>
  </w:style>
  <w:style w:type="character" w:styleId="26">
    <w:name w:val="Placeholder Text"/>
    <w:semiHidden/>
    <w:uiPriority w:val="99"/>
    <w:rPr>
      <w:color w:val="808080"/>
    </w:rPr>
  </w:style>
  <w:style w:type="character" w:customStyle="1" w:styleId="27">
    <w:name w:val="页脚 Char"/>
    <w:link w:val="15"/>
    <w:uiPriority w:val="99"/>
    <w:rPr>
      <w:sz w:val="18"/>
      <w:szCs w:val="18"/>
      <w:lang w:val="en-GB"/>
    </w:rPr>
  </w:style>
  <w:style w:type="character" w:customStyle="1" w:styleId="28">
    <w:name w:val="页眉 Char"/>
    <w:link w:val="16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2" Type="http://schemas.openxmlformats.org/officeDocument/2006/relationships/fontTable" Target="fontTable.xml"/><Relationship Id="rId41" Type="http://schemas.openxmlformats.org/officeDocument/2006/relationships/numbering" Target="numbering.xml"/><Relationship Id="rId40" Type="http://schemas.openxmlformats.org/officeDocument/2006/relationships/image" Target="media/image22.wmf"/><Relationship Id="rId4" Type="http://schemas.openxmlformats.org/officeDocument/2006/relationships/endnotes" Target="endnotes.xml"/><Relationship Id="rId39" Type="http://schemas.openxmlformats.org/officeDocument/2006/relationships/image" Target="media/image21.wmf"/><Relationship Id="rId38" Type="http://schemas.openxmlformats.org/officeDocument/2006/relationships/image" Target="media/image20.wmf"/><Relationship Id="rId37" Type="http://schemas.openxmlformats.org/officeDocument/2006/relationships/image" Target="media/image19.wmf"/><Relationship Id="rId36" Type="http://schemas.openxmlformats.org/officeDocument/2006/relationships/image" Target="media/image18.wmf"/><Relationship Id="rId35" Type="http://schemas.openxmlformats.org/officeDocument/2006/relationships/image" Target="media/image17.wmf"/><Relationship Id="rId34" Type="http://schemas.openxmlformats.org/officeDocument/2006/relationships/image" Target="media/image16.wmf"/><Relationship Id="rId33" Type="http://schemas.openxmlformats.org/officeDocument/2006/relationships/image" Target="media/image15.wmf"/><Relationship Id="rId32" Type="http://schemas.openxmlformats.org/officeDocument/2006/relationships/image" Target="media/image14.wmf"/><Relationship Id="rId31" Type="http://schemas.openxmlformats.org/officeDocument/2006/relationships/image" Target="media/image13.wmf"/><Relationship Id="rId30" Type="http://schemas.openxmlformats.org/officeDocument/2006/relationships/image" Target="media/image12.wmf"/><Relationship Id="rId3" Type="http://schemas.openxmlformats.org/officeDocument/2006/relationships/footnotes" Target="footnotes.xml"/><Relationship Id="rId29" Type="http://schemas.openxmlformats.org/officeDocument/2006/relationships/image" Target="media/image11.png"/><Relationship Id="rId28" Type="http://schemas.openxmlformats.org/officeDocument/2006/relationships/image" Target="media/image10.wmf"/><Relationship Id="rId27" Type="http://schemas.openxmlformats.org/officeDocument/2006/relationships/oleObject" Target="embeddings/oleObject8.bin"/><Relationship Id="rId26" Type="http://schemas.openxmlformats.org/officeDocument/2006/relationships/image" Target="media/image9.wmf"/><Relationship Id="rId25" Type="http://schemas.openxmlformats.org/officeDocument/2006/relationships/oleObject" Target="embeddings/oleObject7.bin"/><Relationship Id="rId24" Type="http://schemas.openxmlformats.org/officeDocument/2006/relationships/image" Target="media/image8.wmf"/><Relationship Id="rId23" Type="http://schemas.openxmlformats.org/officeDocument/2006/relationships/oleObject" Target="embeddings/oleObject6.bin"/><Relationship Id="rId22" Type="http://schemas.openxmlformats.org/officeDocument/2006/relationships/image" Target="media/image7.wmf"/><Relationship Id="rId21" Type="http://schemas.openxmlformats.org/officeDocument/2006/relationships/oleObject" Target="embeddings/oleObject5.bin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" Type="http://schemas.openxmlformats.org/officeDocument/2006/relationships/oleObject" Target="embeddings/oleObject4.bin"/><Relationship Id="rId18" Type="http://schemas.openxmlformats.org/officeDocument/2006/relationships/image" Target="media/image5.wmf"/><Relationship Id="rId17" Type="http://schemas.openxmlformats.org/officeDocument/2006/relationships/oleObject" Target="embeddings/oleObject3.bin"/><Relationship Id="rId16" Type="http://schemas.openxmlformats.org/officeDocument/2006/relationships/image" Target="media/image4.wmf"/><Relationship Id="rId15" Type="http://schemas.openxmlformats.org/officeDocument/2006/relationships/oleObject" Target="embeddings/oleObject2.bin"/><Relationship Id="rId14" Type="http://schemas.openxmlformats.org/officeDocument/2006/relationships/image" Target="media/image3.wmf"/><Relationship Id="rId13" Type="http://schemas.openxmlformats.org/officeDocument/2006/relationships/oleObject" Target="embeddings/oleObject1.bin"/><Relationship Id="rId12" Type="http://schemas.openxmlformats.org/officeDocument/2006/relationships/image" Target="media/image2.bmp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bird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7</Pages>
  <Words>1554</Words>
  <Characters>2117</Characters>
  <Lines>10</Lines>
  <Paragraphs>2</Paragraphs>
  <TotalTime>40</TotalTime>
  <ScaleCrop>false</ScaleCrop>
  <LinksUpToDate>false</LinksUpToDate>
  <CharactersWithSpaces>2166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2024-02-20T09:55:00Z</dcterms:created>
  <dc:creator>RBbird.</dc:creator>
  <cp:lastModifiedBy>RBbird.</cp:lastModifiedBy>
  <dcterms:modified xsi:type="dcterms:W3CDTF">2024-02-20T09:55:39Z</dcterms:modified>
  <dc:title>建筑可开启面积比例计算书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DocHome">
    <vt:i4>157869463</vt:i4>
  </property>
  <property fmtid="{D5CDD505-2E9C-101B-9397-08002B2CF9AE}" pid="4" name="ICV">
    <vt:lpwstr>CE31F3CBD0C64A0F835D9FEE890132C8_11</vt:lpwstr>
  </property>
  <property fmtid="{D5CDD505-2E9C-101B-9397-08002B2CF9AE}" pid="5" name="KSOProductBuildVer">
    <vt:lpwstr>2052-12.1.0.16250</vt:lpwstr>
  </property>
</Properties>
</file>