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35" w:name="_GoBack"/>
      <w:bookmarkEnd w:id="35"/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建筑可开启面积比例计算书</w:t>
      </w: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hint="eastAsia" w:ascii="宋体" w:hAnsi="宋体"/>
                <w:sz w:val="21"/>
                <w:szCs w:val="21"/>
              </w:rPr>
              <w:t>普洱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20220808（SP1）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T15862176512</w:t>
            </w:r>
            <w:bookmarkEnd w:id="9"/>
          </w:p>
        </w:tc>
      </w:tr>
    </w:tbl>
    <w:p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>
      <w:pPr>
        <w:pStyle w:val="17"/>
        <w:sectPr>
          <w:headerReference r:id="rId5" w:type="default"/>
          <w:foot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</w:pPr>
      <w:bookmarkStart w:id="10" w:name="_Toc420309360"/>
      <w:bookmarkStart w:id="11" w:name="_Toc420663548"/>
      <w:r>
        <w:rPr>
          <w:rFonts w:hint="eastAsia"/>
        </w:rPr>
        <w:t>建筑概况</w:t>
      </w:r>
      <w:bookmarkEnd w:id="10"/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hint="eastAsia" w:ascii="宋体" w:hAnsi="宋体"/>
                <w:lang w:val="en-US"/>
              </w:rPr>
              <w:t>普洱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>
              <w:rPr>
                <w:rFonts w:ascii="宋体" w:hAnsi="宋体"/>
                <w:lang w:val="en-US"/>
              </w:rPr>
              <w:t>1239</w:t>
            </w:r>
            <w:bookmarkEnd w:id="14"/>
            <w:r>
              <w:rPr>
                <w:rFonts w:hint="eastAsia" w:ascii="宋体" w:hAnsi="宋体"/>
                <w:lang w:val="en-US"/>
              </w:rPr>
              <w:t>m</w:t>
            </w:r>
            <w:r>
              <w:rPr>
                <w:rFonts w:hint="eastAsia" w:ascii="宋体" w:hAnsi="宋体"/>
                <w:vertAlign w:val="superscript"/>
                <w:lang w:val="en-US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层数"/>
            <w:r>
              <w:rPr>
                <w:rFonts w:hint="eastAsia" w:ascii="宋体" w:hAnsi="宋体"/>
                <w:lang w:val="en-US"/>
              </w:rPr>
              <w:t>3</w:t>
            </w:r>
            <w:bookmarkEnd w:id="15"/>
            <w:r>
              <w:rPr>
                <w:rFonts w:hint="eastAsia" w:ascii="宋体" w:hAnsi="宋体"/>
                <w:lang w:val="en-US"/>
              </w:rPr>
              <w:t>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hint="eastAsia" w:ascii="宋体" w:hAnsi="宋体"/>
                <w:lang w:val="en-US"/>
              </w:rPr>
              <w:t>16.0</w:t>
            </w:r>
            <w:bookmarkEnd w:id="16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</w:tbl>
    <w:p>
      <w:pPr>
        <w:pStyle w:val="2"/>
      </w:pPr>
      <w:bookmarkStart w:id="17" w:name="_Toc420663549"/>
      <w:bookmarkStart w:id="18" w:name="_Toc420309361"/>
      <w:bookmarkStart w:id="19" w:name="TitleFormat"/>
      <w:r>
        <w:rPr>
          <w:rFonts w:hint="eastAsia"/>
        </w:rPr>
        <w:t>计算依据</w:t>
      </w:r>
      <w:bookmarkEnd w:id="17"/>
      <w:bookmarkEnd w:id="18"/>
    </w:p>
    <w:bookmarkEnd w:id="19"/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20"/>
      <w:r>
        <w:rPr>
          <w:rFonts w:hint="eastAsia"/>
          <w:kern w:val="2"/>
          <w:sz w:val="21"/>
          <w:szCs w:val="24"/>
          <w:lang w:val="en-US"/>
        </w:rPr>
        <w:t>1. 《绿色建筑评价标准》(GB/T50378-2014)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2. 《绿色建筑评价技术细则》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21" w:name="工程名称3"/>
      <w:bookmarkEnd w:id="21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>
      <w:pPr>
        <w:pStyle w:val="2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《绿色建筑评价标准》(GB/T50378-2014)中规定：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外窗、玻璃幕墙的可开启部分能使建筑获得良好的通风，评价总分值为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1 </w:t>
      </w:r>
      <w:r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>
        <w:rPr>
          <w:kern w:val="2"/>
          <w:sz w:val="21"/>
          <w:szCs w:val="24"/>
          <w:lang w:val="en-US"/>
        </w:rPr>
        <w:t xml:space="preserve">5 % 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4 </w:t>
      </w:r>
      <w:r>
        <w:rPr>
          <w:rFonts w:hint="eastAsia"/>
          <w:kern w:val="2"/>
          <w:sz w:val="21"/>
          <w:szCs w:val="24"/>
          <w:lang w:val="en-US"/>
        </w:rPr>
        <w:t>分；达到</w:t>
      </w:r>
      <w:r>
        <w:rPr>
          <w:kern w:val="2"/>
          <w:sz w:val="21"/>
          <w:szCs w:val="24"/>
          <w:lang w:val="en-US"/>
        </w:rPr>
        <w:t>1 0 %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2 </w:t>
      </w:r>
      <w:r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>
        <w:rPr>
          <w:kern w:val="2"/>
          <w:sz w:val="21"/>
          <w:szCs w:val="24"/>
          <w:lang w:val="en-US"/>
        </w:rPr>
        <w:t>3 0 %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4 </w:t>
      </w:r>
      <w:r>
        <w:rPr>
          <w:rFonts w:hint="eastAsia"/>
          <w:kern w:val="2"/>
          <w:sz w:val="21"/>
          <w:szCs w:val="24"/>
          <w:lang w:val="en-US"/>
        </w:rPr>
        <w:t>分；达到</w:t>
      </w:r>
      <w:r>
        <w:rPr>
          <w:kern w:val="2"/>
          <w:sz w:val="21"/>
          <w:szCs w:val="24"/>
          <w:lang w:val="en-US"/>
        </w:rPr>
        <w:t>3 5 %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3 </w:t>
      </w:r>
      <w:r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>
        <w:rPr>
          <w:kern w:val="2"/>
          <w:sz w:val="21"/>
          <w:szCs w:val="24"/>
          <w:lang w:val="en-US"/>
        </w:rPr>
        <w:t xml:space="preserve">1 </w:t>
      </w:r>
      <w:r>
        <w:rPr>
          <w:rFonts w:hint="eastAsia"/>
          <w:kern w:val="2"/>
          <w:sz w:val="21"/>
          <w:szCs w:val="24"/>
          <w:lang w:val="en-US"/>
        </w:rPr>
        <w:t>款和第</w:t>
      </w:r>
      <w:r>
        <w:rPr>
          <w:kern w:val="2"/>
          <w:sz w:val="21"/>
          <w:szCs w:val="24"/>
          <w:lang w:val="en-US"/>
        </w:rPr>
        <w:t xml:space="preserve">2 </w:t>
      </w:r>
      <w:r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《绿色建筑评价技术细则》5.2.2的【具体评价方式】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当建筑层数大于18层时，18层以上部分不参评，仅对其第18层及以下各层的外窗和玻璃幕墙可开启面积比例进行评价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本计算书主要通过对建筑18层及18层以下部分的外窗与玻璃幕墙可开启面积比例的计算，判断设计建筑对该条文的符合情况。</w:t>
      </w:r>
    </w:p>
    <w:p>
      <w:pPr>
        <w:pStyle w:val="2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>
      <w:pPr>
        <w:pStyle w:val="4"/>
      </w:pPr>
      <w:r>
        <w:rPr>
          <w:rFonts w:hint="eastAsia"/>
        </w:rPr>
        <w:t>计算内容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bookmarkEnd w:id="24"/>
      <w:r>
        <w:rPr>
          <w:rFonts w:hint="eastAsia"/>
          <w:kern w:val="2"/>
          <w:sz w:val="21"/>
          <w:szCs w:val="24"/>
          <w:lang w:val="en-US"/>
        </w:rPr>
        <w:t>建筑可开启面积比例的计算书。</w:t>
      </w:r>
    </w:p>
    <w:p>
      <w:pPr>
        <w:pStyle w:val="4"/>
      </w:pPr>
      <w:r>
        <w:rPr>
          <w:rFonts w:hint="eastAsia"/>
        </w:rPr>
        <w:t>计算方法</w:t>
      </w:r>
    </w:p>
    <w:p>
      <w:pPr>
        <w:widowControl w:val="0"/>
        <w:spacing w:line="240" w:lineRule="auto"/>
        <w:ind w:firstLine="422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4.2.1 外窗可开启面积比例计算：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object>
          <v:shape id="_x0000_i1025" o:spt="75" type="#_x0000_t75" style="height:34.5pt;width:107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3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</w:p>
    <w:p>
      <w:pPr>
        <w:widowControl w:val="0"/>
        <w:spacing w:line="240" w:lineRule="auto"/>
        <w:ind w:left="360" w:leftChars="20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6" o:spt="75" type="#_x0000_t75" style="height:18.75pt;width:33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5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—外窗可开启面积比例（%）；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7" o:spt="75" type="#_x0000_t75" style="height:18.75pt;width:26.2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7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—18层及18层以下部分的外窗可开启面积之和（m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8" o:spt="75" type="#_x0000_t75" style="height:18.75pt;width:22.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9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—18层及18层以下部分的外窗面积之和（m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ab/>
      </w:r>
      <w:r>
        <w:rPr>
          <w:rFonts w:hint="eastAsia"/>
          <w:kern w:val="2"/>
          <w:sz w:val="21"/>
          <w:szCs w:val="24"/>
          <w:lang w:val="en-US"/>
        </w:rPr>
        <w:t>注：可开启面积即可开启窗扇的洞口面积。如图1所示。</w:t>
      </w: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ind w:firstLine="424" w:firstLineChars="201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4.2.2 玻璃幕墙可开启面积比例计算：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object>
          <v:shape id="_x0000_i1029" o:spt="75" type="#_x0000_t75" style="height:34.5pt;width:108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21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</w:p>
    <w:p>
      <w:pPr>
        <w:widowControl w:val="0"/>
        <w:spacing w:line="240" w:lineRule="auto"/>
        <w:ind w:left="360" w:leftChars="20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0" o:spt="75" type="#_x0000_t75" style="height:18.75pt;width:34.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3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—玻璃幕墙可开启面积比例（%）；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1" o:spt="75" type="#_x0000_t75" style="height:18.75pt;width:2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5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—18层及18层以下部分的玻璃幕墙可开启面积之和（m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2" o:spt="75" type="#_x0000_t75" style="height:18.75pt;width:2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7">
            <o:LockedField>false</o:LockedField>
          </o:OLEObject>
        </w:objec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—18层及18层以下部分的玻璃幕墙透明部分面积之和（m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drawing>
          <wp:inline distT="0" distB="0" distL="0" distR="0">
            <wp:extent cx="4010025" cy="2341880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图1</w:t>
      </w:r>
      <w:r>
        <w:rPr>
          <w:rFonts w:hint="eastAsia"/>
          <w:kern w:val="2"/>
          <w:sz w:val="21"/>
          <w:szCs w:val="24"/>
          <w:lang w:val="en-US"/>
        </w:rPr>
        <w:tab/>
      </w:r>
      <w:r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ind w:left="900" w:leftChars="500"/>
        <w:rPr>
          <w:kern w:val="2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kern w:val="2"/>
          <w:sz w:val="21"/>
          <w:szCs w:val="24"/>
        </w:rPr>
      </w:pPr>
      <w:r>
        <w:rPr>
          <w:rFonts w:hint="eastAsia"/>
          <w:kern w:val="2"/>
        </w:rPr>
        <w:t>可开启面积比例统计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表1-建筑可开启面积比例统计计算表</w:t>
      </w:r>
      <w:bookmarkEnd w:id="25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南向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M2030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24.00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24.00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</w:tbl>
    <w:p>
      <w:pPr>
        <w:rPr>
          <w:szCs w:val="24"/>
        </w:rPr>
      </w:pPr>
      <w:bookmarkStart w:id="27" w:name="外窗统计计算表南向"/>
      <w:bookmarkEnd w:id="27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北向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C1230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M5030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15.00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M6030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18.00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18.00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40.20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25.20</w:t>
            </w:r>
          </w:p>
        </w:tc>
        <w:tc>
          <w:tcPr>
            <w:vAlign w:val="center"/>
          </w:tcPr>
          <w:p>
            <w:r>
              <w:t>63</w:t>
            </w:r>
          </w:p>
        </w:tc>
      </w:tr>
    </w:tbl>
    <w:p>
      <w:pPr>
        <w:rPr>
          <w:szCs w:val="24"/>
        </w:rPr>
      </w:pPr>
      <w:bookmarkStart w:id="28" w:name="外窗统计计算表北向"/>
      <w:bookmarkEnd w:id="28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东向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M1115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11.97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35.92</w:t>
            </w:r>
          </w:p>
        </w:tc>
        <w:tc>
          <w:tcPr>
            <w:vAlign w:val="center"/>
          </w:tcPr>
          <w:p>
            <w:r>
              <w:t>11.97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35.92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M1615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48.00</w:t>
            </w:r>
          </w:p>
        </w:tc>
        <w:tc>
          <w:tcPr>
            <w:vAlign w:val="center"/>
          </w:tcPr>
          <w:p>
            <w:r>
              <w:t>16.00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48.00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M2315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6.90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6.90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132.22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132.22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</w:tbl>
    <w:p>
      <w:pPr>
        <w:rPr>
          <w:szCs w:val="24"/>
        </w:rPr>
      </w:pPr>
      <w:bookmarkStart w:id="29" w:name="外窗统计计算表东向"/>
      <w:bookmarkEnd w:id="29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西向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C1530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M1815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M1830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M5030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15.00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99.60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84.60</w:t>
            </w:r>
          </w:p>
        </w:tc>
        <w:tc>
          <w:tcPr>
            <w:vAlign w:val="center"/>
          </w:tcPr>
          <w:p>
            <w:r>
              <w:t>85</w:t>
            </w:r>
          </w:p>
        </w:tc>
      </w:tr>
    </w:tbl>
    <w:p>
      <w:pPr>
        <w:rPr>
          <w:szCs w:val="24"/>
        </w:rPr>
      </w:pPr>
      <w:bookmarkStart w:id="30" w:name="外窗统计计算表西向"/>
      <w:bookmarkEnd w:id="30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总计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C1230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C1530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M1115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11.97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35.92</w:t>
            </w:r>
          </w:p>
        </w:tc>
        <w:tc>
          <w:tcPr>
            <w:vAlign w:val="center"/>
          </w:tcPr>
          <w:p>
            <w:r>
              <w:t>11.97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35.92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M1615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16.00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48.00</w:t>
            </w:r>
          </w:p>
        </w:tc>
        <w:tc>
          <w:tcPr>
            <w:vAlign w:val="center"/>
          </w:tcPr>
          <w:p>
            <w:r>
              <w:t>16.00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48.00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M1815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M1830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M2030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M2315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6.90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6.90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M5030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15.00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M6030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18.00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18.00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296.02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266.02</w:t>
            </w:r>
          </w:p>
        </w:tc>
        <w:tc>
          <w:tcPr>
            <w:vAlign w:val="center"/>
          </w:tcPr>
          <w:p>
            <w:r>
              <w:t>90</w:t>
            </w:r>
          </w:p>
        </w:tc>
      </w:tr>
      <w:bookmarkEnd w:id="26"/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31" w:name="外窗统计计算表"/>
      <w:bookmarkEnd w:id="31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32" w:name="玻璃幕墙统计计算表"/>
      <w:bookmarkEnd w:id="32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  <w:sectPr>
          <w:headerReference r:id="rId7" w:type="default"/>
          <w:footerReference r:id="rId8" w:type="default"/>
          <w:pgSz w:w="16838" w:h="11906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kern w:val="2"/>
        </w:rPr>
      </w:pPr>
      <w:bookmarkStart w:id="33" w:name="_Toc420663553"/>
      <w:r>
        <w:rPr>
          <w:rFonts w:hint="eastAsia"/>
          <w:kern w:val="2"/>
        </w:rPr>
        <w:t>结论</w:t>
      </w:r>
      <w:bookmarkEnd w:id="33"/>
    </w:p>
    <w:p>
      <w:pPr>
        <w:pStyle w:val="3"/>
        <w:ind w:left="360" w:firstLine="0" w:firstLineChars="0"/>
        <w:rPr>
          <w:rFonts w:ascii="宋体" w:hAnsi="宋体"/>
        </w:rPr>
      </w:pPr>
      <w:r>
        <w:rPr>
          <w:rFonts w:ascii="宋体" w:hAnsi="宋体"/>
        </w:rPr>
        <w:t>建筑外窗可开启面积比例为90%，按照5.2.2中条款2的规定，得6分。</w:t>
      </w:r>
    </w:p>
    <w:p>
      <w:pPr>
        <w:pStyle w:val="3"/>
        <w:ind w:left="360" w:firstLine="0" w:firstLineChars="0"/>
        <w:rPr>
          <w:rFonts w:ascii="宋体" w:hAnsi="宋体"/>
        </w:rPr>
      </w:pPr>
    </w:p>
    <w:p>
      <w:pPr>
        <w:pStyle w:val="3"/>
        <w:ind w:firstLine="0" w:firstLineChars="0"/>
        <w:rPr>
          <w:rFonts w:ascii="宋体" w:hAnsi="宋体"/>
        </w:rPr>
      </w:pPr>
      <w:bookmarkStart w:id="34" w:name="门窗详图"/>
      <w:r>
        <w:rPr>
          <w:rFonts w:hint="eastAsia" w:ascii="宋体" w:hAnsi="宋体"/>
        </w:rPr>
        <w:t xml:space="preserve"> </w:t>
      </w:r>
      <w:bookmarkEnd w:id="34"/>
    </w:p>
    <w:p/>
    <w:p>
      <w:pPr>
        <w:pStyle w:val="2"/>
      </w:pPr>
      <w:r>
        <w:t>附录：门窗详图</w:t>
      </w:r>
    </w:p>
    <w:p>
      <w:r>
        <w:t>说明：红色线框表示窗洞，绿色线框表示开启扇。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C1230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C1530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4.50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4.50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M0920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M0921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M1115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M1615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35.92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48.00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35.92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48.00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M1815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M1820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M1821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M1830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M2030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M2315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6.90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6.90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M3030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M4050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M5030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M6030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15.00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T1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T2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52.60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52.60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6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T3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/>
    <w:sectPr>
      <w:headerReference r:id="rId9" w:type="default"/>
      <w:footerReference r:id="rId10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3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725"/>
      <w:gridCol w:w="4726"/>
      <w:gridCol w:w="472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67" w:type="pct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1667" w:type="pct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ENT2022</w:t>
          </w:r>
        </w:p>
      </w:tc>
    </w:tr>
  </w:tbl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96"/>
      <w:gridCol w:w="3096"/>
      <w:gridCol w:w="309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67" w:type="pct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1667" w:type="pct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2566C8D"/>
    <w:multiLevelType w:val="multilevel"/>
    <w:tmpl w:val="22566C8D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D5EBE"/>
    <w:rsid w:val="001915A3"/>
    <w:rsid w:val="00217F62"/>
    <w:rsid w:val="00A906D8"/>
    <w:rsid w:val="00AB5A74"/>
    <w:rsid w:val="00F071AE"/>
    <w:rsid w:val="269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</w:pPr>
    <w:rPr>
      <w:rFonts w:ascii="Times New Roman" w:hAnsi="Times New Roman" w:eastAsia="宋体" w:cs="Times New Roman"/>
      <w:sz w:val="18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 w:val="21"/>
      <w:szCs w:val="24"/>
      <w:lang w:val="en-US"/>
    </w:rPr>
  </w:style>
  <w:style w:type="paragraph" w:styleId="14">
    <w:name w:val="Balloon Text"/>
    <w:basedOn w:val="1"/>
    <w:link w:val="25"/>
    <w:autoRedefine/>
    <w:qFormat/>
    <w:uiPriority w:val="0"/>
    <w:pPr>
      <w:spacing w:line="240" w:lineRule="auto"/>
    </w:pPr>
    <w:rPr>
      <w:szCs w:val="18"/>
    </w:rPr>
  </w:style>
  <w:style w:type="paragraph" w:styleId="15">
    <w:name w:val="footer"/>
    <w:basedOn w:val="1"/>
    <w:link w:val="27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link w:val="2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 w:val="21"/>
      <w:szCs w:val="24"/>
      <w:lang w:val="en-US"/>
    </w:rPr>
  </w:style>
  <w:style w:type="paragraph" w:styleId="18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 w:val="21"/>
      <w:szCs w:val="24"/>
      <w:lang w:val="en-US"/>
    </w:rPr>
  </w:style>
  <w:style w:type="table" w:styleId="20">
    <w:name w:val="Table Grid"/>
    <w:basedOn w:val="19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autoRedefine/>
    <w:qFormat/>
    <w:uiPriority w:val="99"/>
    <w:rPr>
      <w:color w:val="0000FF"/>
      <w:u w:val="single"/>
    </w:rPr>
  </w:style>
  <w:style w:type="paragraph" w:styleId="23">
    <w:name w:val="List Paragraph"/>
    <w:basedOn w:val="1"/>
    <w:autoRedefine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24">
    <w:name w:val="TOC Heading"/>
    <w:basedOn w:val="2"/>
    <w:next w:val="1"/>
    <w:autoRedefine/>
    <w:qFormat/>
    <w:uiPriority w:val="3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character" w:customStyle="1" w:styleId="25">
    <w:name w:val="批注框文本 Char"/>
    <w:link w:val="14"/>
    <w:autoRedefine/>
    <w:qFormat/>
    <w:uiPriority w:val="0"/>
    <w:rPr>
      <w:sz w:val="18"/>
      <w:szCs w:val="18"/>
      <w:lang w:val="en-GB"/>
    </w:rPr>
  </w:style>
  <w:style w:type="character" w:styleId="26">
    <w:name w:val="Placeholder Text"/>
    <w:autoRedefine/>
    <w:semiHidden/>
    <w:qFormat/>
    <w:uiPriority w:val="99"/>
    <w:rPr>
      <w:color w:val="808080"/>
    </w:rPr>
  </w:style>
  <w:style w:type="character" w:customStyle="1" w:styleId="27">
    <w:name w:val="页脚 Char"/>
    <w:link w:val="15"/>
    <w:autoRedefine/>
    <w:qFormat/>
    <w:uiPriority w:val="99"/>
    <w:rPr>
      <w:sz w:val="18"/>
      <w:szCs w:val="18"/>
      <w:lang w:val="en-GB"/>
    </w:rPr>
  </w:style>
  <w:style w:type="character" w:customStyle="1" w:styleId="28">
    <w:name w:val="页眉 Char"/>
    <w:link w:val="16"/>
    <w:autoRedefine/>
    <w:qFormat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0" Type="http://schemas.openxmlformats.org/officeDocument/2006/relationships/fontTable" Target="fontTable.xml"/><Relationship Id="rId5" Type="http://schemas.openxmlformats.org/officeDocument/2006/relationships/header" Target="header1.xml"/><Relationship Id="rId49" Type="http://schemas.openxmlformats.org/officeDocument/2006/relationships/numbering" Target="numbering.xml"/><Relationship Id="rId48" Type="http://schemas.openxmlformats.org/officeDocument/2006/relationships/image" Target="media/image30.wmf"/><Relationship Id="rId47" Type="http://schemas.openxmlformats.org/officeDocument/2006/relationships/image" Target="media/image29.wmf"/><Relationship Id="rId46" Type="http://schemas.openxmlformats.org/officeDocument/2006/relationships/image" Target="media/image28.wmf"/><Relationship Id="rId45" Type="http://schemas.openxmlformats.org/officeDocument/2006/relationships/image" Target="media/image27.wmf"/><Relationship Id="rId44" Type="http://schemas.openxmlformats.org/officeDocument/2006/relationships/image" Target="media/image26.wmf"/><Relationship Id="rId43" Type="http://schemas.openxmlformats.org/officeDocument/2006/relationships/image" Target="media/image25.wmf"/><Relationship Id="rId42" Type="http://schemas.openxmlformats.org/officeDocument/2006/relationships/image" Target="media/image24.wmf"/><Relationship Id="rId41" Type="http://schemas.openxmlformats.org/officeDocument/2006/relationships/image" Target="media/image23.wmf"/><Relationship Id="rId40" Type="http://schemas.openxmlformats.org/officeDocument/2006/relationships/image" Target="media/image22.wmf"/><Relationship Id="rId4" Type="http://schemas.openxmlformats.org/officeDocument/2006/relationships/endnotes" Target="endnotes.xml"/><Relationship Id="rId39" Type="http://schemas.openxmlformats.org/officeDocument/2006/relationships/image" Target="media/image21.wmf"/><Relationship Id="rId38" Type="http://schemas.openxmlformats.org/officeDocument/2006/relationships/image" Target="media/image20.wmf"/><Relationship Id="rId37" Type="http://schemas.openxmlformats.org/officeDocument/2006/relationships/image" Target="media/image19.wmf"/><Relationship Id="rId36" Type="http://schemas.openxmlformats.org/officeDocument/2006/relationships/image" Target="media/image18.wmf"/><Relationship Id="rId35" Type="http://schemas.openxmlformats.org/officeDocument/2006/relationships/image" Target="media/image17.wmf"/><Relationship Id="rId34" Type="http://schemas.openxmlformats.org/officeDocument/2006/relationships/image" Target="media/image16.wmf"/><Relationship Id="rId33" Type="http://schemas.openxmlformats.org/officeDocument/2006/relationships/image" Target="media/image15.wmf"/><Relationship Id="rId32" Type="http://schemas.openxmlformats.org/officeDocument/2006/relationships/image" Target="media/image14.wmf"/><Relationship Id="rId31" Type="http://schemas.openxmlformats.org/officeDocument/2006/relationships/image" Target="media/image13.wmf"/><Relationship Id="rId30" Type="http://schemas.openxmlformats.org/officeDocument/2006/relationships/image" Target="media/image12.wmf"/><Relationship Id="rId3" Type="http://schemas.openxmlformats.org/officeDocument/2006/relationships/footnotes" Target="footnotes.xml"/><Relationship Id="rId29" Type="http://schemas.openxmlformats.org/officeDocument/2006/relationships/image" Target="media/image11.png"/><Relationship Id="rId28" Type="http://schemas.openxmlformats.org/officeDocument/2006/relationships/image" Target="media/image10.wmf"/><Relationship Id="rId27" Type="http://schemas.openxmlformats.org/officeDocument/2006/relationships/oleObject" Target="embeddings/oleObject8.bin"/><Relationship Id="rId26" Type="http://schemas.openxmlformats.org/officeDocument/2006/relationships/image" Target="media/image9.wmf"/><Relationship Id="rId25" Type="http://schemas.openxmlformats.org/officeDocument/2006/relationships/oleObject" Target="embeddings/oleObject7.bin"/><Relationship Id="rId24" Type="http://schemas.openxmlformats.org/officeDocument/2006/relationships/image" Target="media/image8.wmf"/><Relationship Id="rId23" Type="http://schemas.openxmlformats.org/officeDocument/2006/relationships/oleObject" Target="embeddings/oleObject6.bin"/><Relationship Id="rId22" Type="http://schemas.openxmlformats.org/officeDocument/2006/relationships/image" Target="media/image7.wmf"/><Relationship Id="rId21" Type="http://schemas.openxmlformats.org/officeDocument/2006/relationships/oleObject" Target="embeddings/oleObject5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" Type="http://schemas.openxmlformats.org/officeDocument/2006/relationships/oleObject" Target="embeddings/oleObject4.bin"/><Relationship Id="rId18" Type="http://schemas.openxmlformats.org/officeDocument/2006/relationships/image" Target="media/image5.wmf"/><Relationship Id="rId17" Type="http://schemas.openxmlformats.org/officeDocument/2006/relationships/oleObject" Target="embeddings/oleObject3.bin"/><Relationship Id="rId16" Type="http://schemas.openxmlformats.org/officeDocument/2006/relationships/image" Target="media/image4.wmf"/><Relationship Id="rId15" Type="http://schemas.openxmlformats.org/officeDocument/2006/relationships/oleObject" Target="embeddings/oleObject2.bin"/><Relationship Id="rId14" Type="http://schemas.openxmlformats.org/officeDocument/2006/relationships/image" Target="media/image3.wmf"/><Relationship Id="rId13" Type="http://schemas.openxmlformats.org/officeDocument/2006/relationships/oleObject" Target="embeddings/oleObject1.bin"/><Relationship Id="rId12" Type="http://schemas.openxmlformats.org/officeDocument/2006/relationships/image" Target="media/image2.bmp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bird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8</Pages>
  <Words>2028</Words>
  <Characters>2981</Characters>
  <Lines>10</Lines>
  <Paragraphs>2</Paragraphs>
  <TotalTime>40</TotalTime>
  <ScaleCrop>false</ScaleCrop>
  <LinksUpToDate>false</LinksUpToDate>
  <CharactersWithSpaces>3030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2024-02-20T09:41:00Z</dcterms:created>
  <dc:creator>RBbird.</dc:creator>
  <cp:lastModifiedBy>RBbird.</cp:lastModifiedBy>
  <dcterms:modified xsi:type="dcterms:W3CDTF">2024-02-20T09:42:15Z</dcterms:modified>
  <dc:title>建筑可开启面积比例计算书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  <property fmtid="{D5CDD505-2E9C-101B-9397-08002B2CF9AE}" pid="4" name="ICV">
    <vt:lpwstr>3B9D420997264164B1297B56B8A5777E_11</vt:lpwstr>
  </property>
  <property fmtid="{D5CDD505-2E9C-101B-9397-08002B2CF9AE}" pid="5" name="KSOProductBuildVer">
    <vt:lpwstr>2052-12.1.0.16250</vt:lpwstr>
  </property>
</Properties>
</file>